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1E" w:rsidRPr="0041175A" w:rsidRDefault="00635E1E" w:rsidP="00635E1E">
      <w:pPr>
        <w:jc w:val="center"/>
        <w:rPr>
          <w:rFonts w:asciiTheme="majorHAnsi" w:hAnsiTheme="majorHAnsi"/>
          <w:b/>
        </w:rPr>
      </w:pPr>
    </w:p>
    <w:p w:rsidR="00635E1E" w:rsidRPr="0041175A" w:rsidRDefault="00635E1E" w:rsidP="00635E1E">
      <w:pPr>
        <w:jc w:val="center"/>
        <w:rPr>
          <w:rFonts w:asciiTheme="majorHAnsi" w:hAnsiTheme="majorHAnsi"/>
          <w:b/>
        </w:rPr>
      </w:pPr>
      <w:r w:rsidRPr="0041175A">
        <w:rPr>
          <w:rFonts w:asciiTheme="majorHAnsi" w:hAnsiTheme="majorHAnsi"/>
          <w:b/>
        </w:rPr>
        <w:t>MACHINO PLASTICS</w:t>
      </w:r>
      <w:r w:rsidRPr="0041175A">
        <w:rPr>
          <w:rFonts w:asciiTheme="majorHAnsi" w:hAnsiTheme="majorHAnsi"/>
          <w:b/>
        </w:rPr>
        <w:t xml:space="preserve"> LIMITED</w:t>
      </w:r>
    </w:p>
    <w:p w:rsidR="00635E1E" w:rsidRPr="0041175A" w:rsidRDefault="00635E1E" w:rsidP="00635E1E">
      <w:pPr>
        <w:autoSpaceDE w:val="0"/>
        <w:autoSpaceDN w:val="0"/>
        <w:adjustRightInd w:val="0"/>
        <w:jc w:val="center"/>
        <w:rPr>
          <w:rFonts w:asciiTheme="majorHAnsi" w:hAnsiTheme="majorHAnsi"/>
          <w:b/>
        </w:rPr>
      </w:pPr>
      <w:r w:rsidRPr="0041175A">
        <w:rPr>
          <w:rFonts w:asciiTheme="majorHAnsi" w:hAnsiTheme="majorHAnsi"/>
          <w:b/>
        </w:rPr>
        <w:t>Code of Conduct to Regulate, Monitor and Report Trading by Insiders</w:t>
      </w:r>
    </w:p>
    <w:p w:rsidR="00635E1E" w:rsidRPr="0041175A" w:rsidRDefault="00635E1E" w:rsidP="00635E1E">
      <w:pPr>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rPr>
      </w:pPr>
      <w:r w:rsidRPr="0041175A">
        <w:rPr>
          <w:rFonts w:asciiTheme="majorHAnsi" w:hAnsiTheme="majorHAnsi"/>
        </w:rPr>
        <w:t xml:space="preserve">The Board of Directors of </w:t>
      </w:r>
      <w:r w:rsidR="0041175A">
        <w:rPr>
          <w:rFonts w:asciiTheme="majorHAnsi" w:hAnsiTheme="majorHAnsi"/>
        </w:rPr>
        <w:t>Machino Plastics</w:t>
      </w:r>
      <w:r w:rsidRPr="0041175A">
        <w:rPr>
          <w:rFonts w:asciiTheme="majorHAnsi" w:hAnsiTheme="majorHAnsi"/>
        </w:rPr>
        <w:t xml:space="preserve"> Limited (hereinafter referred to as “Company”) has adopted the following Code of Conduct to Regulate, Monitor and Report Trading by Insiders in its meeting held on </w:t>
      </w:r>
      <w:r w:rsidR="0041175A">
        <w:rPr>
          <w:rFonts w:asciiTheme="majorHAnsi" w:hAnsiTheme="majorHAnsi"/>
        </w:rPr>
        <w:t>30</w:t>
      </w:r>
      <w:r w:rsidRPr="0041175A">
        <w:rPr>
          <w:rFonts w:asciiTheme="majorHAnsi" w:hAnsiTheme="majorHAnsi"/>
          <w:vertAlign w:val="superscript"/>
        </w:rPr>
        <w:t>th</w:t>
      </w:r>
      <w:r w:rsidRPr="0041175A">
        <w:rPr>
          <w:rFonts w:asciiTheme="majorHAnsi" w:hAnsiTheme="majorHAnsi"/>
        </w:rPr>
        <w:t xml:space="preserve"> May 2015.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rPr>
      </w:pPr>
      <w:r w:rsidRPr="0041175A">
        <w:rPr>
          <w:rFonts w:asciiTheme="majorHAnsi" w:hAnsiTheme="majorHAnsi"/>
        </w:rPr>
        <w:t>This Code of Conduct will be known as “</w:t>
      </w:r>
      <w:r w:rsidR="0041175A">
        <w:rPr>
          <w:rFonts w:asciiTheme="majorHAnsi" w:hAnsiTheme="majorHAnsi"/>
        </w:rPr>
        <w:t>Machino Plastics</w:t>
      </w:r>
      <w:r w:rsidR="0041175A" w:rsidRPr="0041175A">
        <w:rPr>
          <w:rFonts w:asciiTheme="majorHAnsi" w:hAnsiTheme="majorHAnsi"/>
        </w:rPr>
        <w:t xml:space="preserve"> Limited</w:t>
      </w:r>
      <w:r w:rsidRPr="0041175A">
        <w:rPr>
          <w:rFonts w:asciiTheme="majorHAnsi" w:hAnsiTheme="majorHAnsi"/>
        </w:rPr>
        <w:t>: Code of Conduct to Regulate, Monitor and Report Trading by Insiders” (hereinafter referred to as “Code”).</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rPr>
      </w:pPr>
      <w:r w:rsidRPr="0041175A">
        <w:rPr>
          <w:rFonts w:asciiTheme="majorHAnsi" w:hAnsiTheme="majorHAnsi"/>
        </w:rPr>
        <w:t>This Code has been made pursuant to Regulation 9 of the Securities and Exchange Board of India (Prohibition of Insider Trading) Regulations, 2015 (hereinafter referred to as the "Regulations").</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rPr>
      </w:pPr>
      <w:r w:rsidRPr="0041175A">
        <w:rPr>
          <w:rFonts w:asciiTheme="majorHAnsi" w:hAnsiTheme="majorHAnsi"/>
        </w:rPr>
        <w:t xml:space="preserve">This Code replaces </w:t>
      </w:r>
      <w:r w:rsidR="0041175A">
        <w:rPr>
          <w:rFonts w:asciiTheme="majorHAnsi" w:hAnsiTheme="majorHAnsi"/>
        </w:rPr>
        <w:t>Machino Plastics</w:t>
      </w:r>
      <w:r w:rsidR="0041175A" w:rsidRPr="0041175A">
        <w:rPr>
          <w:rFonts w:asciiTheme="majorHAnsi" w:hAnsiTheme="majorHAnsi"/>
        </w:rPr>
        <w:t xml:space="preserve"> Limited </w:t>
      </w:r>
      <w:r w:rsidRPr="0041175A">
        <w:rPr>
          <w:rFonts w:asciiTheme="majorHAnsi" w:hAnsiTheme="majorHAnsi"/>
        </w:rPr>
        <w:t>Code of Conduct for Prohibition of Insider Trading as framed under the SEBI (Prohibition of Insider Trading) Regulations, 1992, with effect from 15 May 2015.</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Definitions:</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"Act"</w:t>
      </w:r>
      <w:r w:rsidRPr="0041175A">
        <w:rPr>
          <w:rFonts w:asciiTheme="majorHAnsi" w:hAnsiTheme="majorHAnsi"/>
        </w:rPr>
        <w:t xml:space="preserve"> means the Securities and Exchange Board of India Act, 1992 (15 of 1992). </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“Board”</w:t>
      </w:r>
      <w:r w:rsidRPr="0041175A">
        <w:rPr>
          <w:rFonts w:asciiTheme="majorHAnsi" w:hAnsiTheme="majorHAnsi"/>
        </w:rPr>
        <w:t xml:space="preserve"> means the Securities and Exchange Board of India.</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"Board of Directors"</w:t>
      </w:r>
      <w:r w:rsidRPr="0041175A">
        <w:rPr>
          <w:rFonts w:asciiTheme="majorHAnsi" w:hAnsiTheme="majorHAnsi"/>
        </w:rPr>
        <w:t xml:space="preserve"> means the Board of Directors of the Company. </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"Companies Act"</w:t>
      </w:r>
      <w:r w:rsidRPr="0041175A">
        <w:rPr>
          <w:rFonts w:asciiTheme="majorHAnsi" w:hAnsiTheme="majorHAnsi"/>
        </w:rPr>
        <w:t xml:space="preserve"> means The Companies Act, 2013. </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"Company" or "the Company"</w:t>
      </w:r>
      <w:r w:rsidRPr="0041175A">
        <w:rPr>
          <w:rFonts w:asciiTheme="majorHAnsi" w:hAnsiTheme="majorHAnsi"/>
        </w:rPr>
        <w:t xml:space="preserve"> means </w:t>
      </w:r>
      <w:r w:rsidR="00B734CA">
        <w:rPr>
          <w:rFonts w:asciiTheme="majorHAnsi" w:hAnsiTheme="majorHAnsi"/>
        </w:rPr>
        <w:t>Machino Plastics Limited</w:t>
      </w:r>
      <w:r w:rsidRPr="0041175A">
        <w:rPr>
          <w:rFonts w:asciiTheme="majorHAnsi" w:hAnsiTheme="majorHAnsi"/>
        </w:rPr>
        <w:t>.</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"Compliance Officer"</w:t>
      </w:r>
      <w:r w:rsidRPr="0041175A">
        <w:rPr>
          <w:rFonts w:asciiTheme="majorHAnsi" w:hAnsiTheme="majorHAnsi"/>
        </w:rPr>
        <w:t xml:space="preserve"> means the Company Secretary for the time being of the Company or any senior officer appointed by the Board of Directors for the purpose of this Code and the Regulations.</w:t>
      </w:r>
    </w:p>
    <w:p w:rsidR="00635E1E" w:rsidRPr="0041175A" w:rsidRDefault="00635E1E" w:rsidP="00635E1E">
      <w:pPr>
        <w:pStyle w:val="ListParagraph"/>
        <w:ind w:left="9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“Connected person”</w:t>
      </w:r>
      <w:r w:rsidRPr="0041175A">
        <w:rPr>
          <w:rFonts w:asciiTheme="majorHAnsi" w:hAnsiTheme="majorHAnsi"/>
        </w:rPr>
        <w:t xml:space="preserve"> means- </w:t>
      </w:r>
    </w:p>
    <w:p w:rsidR="00635E1E" w:rsidRPr="0041175A" w:rsidRDefault="00635E1E" w:rsidP="00635E1E">
      <w:pPr>
        <w:pStyle w:val="ListParagraph"/>
        <w:ind w:left="1440"/>
        <w:rPr>
          <w:rFonts w:asciiTheme="majorHAnsi" w:hAnsiTheme="majorHAnsi"/>
          <w:b/>
        </w:rPr>
      </w:pPr>
    </w:p>
    <w:p w:rsidR="00635E1E" w:rsidRPr="0041175A" w:rsidRDefault="00635E1E" w:rsidP="00635E1E">
      <w:pPr>
        <w:pStyle w:val="ListParagraph"/>
        <w:numPr>
          <w:ilvl w:val="0"/>
          <w:numId w:val="4"/>
        </w:numPr>
        <w:spacing w:after="200" w:line="276" w:lineRule="auto"/>
        <w:jc w:val="both"/>
        <w:rPr>
          <w:rFonts w:asciiTheme="majorHAnsi" w:hAnsiTheme="majorHAnsi"/>
          <w:b/>
        </w:rPr>
      </w:pPr>
      <w:r w:rsidRPr="0041175A">
        <w:rPr>
          <w:rFonts w:asciiTheme="majorHAnsi" w:hAnsiTheme="majorHAnsi"/>
        </w:rPr>
        <w:t xml:space="preserve">any person who is or has during the six months prior to the concerned act been associated with the Company, directly or indirectly, in any capacity including by reason of frequent communication with Company’s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rsidR="00635E1E" w:rsidRPr="0041175A" w:rsidRDefault="00635E1E" w:rsidP="00635E1E">
      <w:pPr>
        <w:pStyle w:val="ListParagraph"/>
        <w:ind w:left="1440"/>
        <w:rPr>
          <w:rFonts w:asciiTheme="majorHAnsi" w:hAnsiTheme="majorHAnsi"/>
          <w:b/>
        </w:rPr>
      </w:pPr>
    </w:p>
    <w:p w:rsidR="00635E1E" w:rsidRPr="0041175A" w:rsidRDefault="00635E1E" w:rsidP="00635E1E">
      <w:pPr>
        <w:pStyle w:val="ListParagraph"/>
        <w:numPr>
          <w:ilvl w:val="0"/>
          <w:numId w:val="4"/>
        </w:numPr>
        <w:spacing w:after="200" w:line="276" w:lineRule="auto"/>
        <w:jc w:val="both"/>
        <w:rPr>
          <w:rFonts w:asciiTheme="majorHAnsi" w:hAnsiTheme="majorHAnsi"/>
          <w:b/>
        </w:rPr>
      </w:pPr>
      <w:r w:rsidRPr="0041175A">
        <w:rPr>
          <w:rFonts w:asciiTheme="majorHAnsi" w:hAnsiTheme="majorHAnsi"/>
        </w:rPr>
        <w:t xml:space="preserve">Without prejudice to the generality of the foregoing, the persons falling within the following categories shall be deemed to be connected persons unless the contrary is established –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 an immediate relative of connected persons specified in clause (i);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 holding company or associate company or subsidiary company;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an intermediary as specified in section 12 of the Act or an employee or director thereof;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an investment company, trustee company, asset management company or an employee or director thereof;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an official of a stock exchange or of clearing house or corporation;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lastRenderedPageBreak/>
        <w:t xml:space="preserve">a member of board of trustees of a mutual fund or a member of the board of directors of the asset management company of a mutual fund or is an employee thereof;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 member of the board of directors or an employee, of a public financial institution as defined in section 2 (72) of the Companies Act, 2013;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an official or an employee of a self-regulatory organization </w:t>
      </w:r>
      <w:r w:rsidR="0041175A" w:rsidRPr="0041175A">
        <w:rPr>
          <w:rFonts w:asciiTheme="majorHAnsi" w:hAnsiTheme="majorHAnsi"/>
        </w:rPr>
        <w:t>recognized</w:t>
      </w:r>
      <w:r w:rsidRPr="0041175A">
        <w:rPr>
          <w:rFonts w:asciiTheme="majorHAnsi" w:hAnsiTheme="majorHAnsi"/>
        </w:rPr>
        <w:t xml:space="preserve"> or authorized by the Board;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r w:rsidRPr="0041175A">
        <w:rPr>
          <w:rFonts w:asciiTheme="majorHAnsi" w:hAnsiTheme="majorHAnsi"/>
        </w:rPr>
        <w:t xml:space="preserve">a banker of the company; or </w:t>
      </w:r>
    </w:p>
    <w:p w:rsidR="00635E1E" w:rsidRPr="0041175A" w:rsidRDefault="00635E1E" w:rsidP="00635E1E">
      <w:pPr>
        <w:pStyle w:val="ListParagraph"/>
        <w:numPr>
          <w:ilvl w:val="0"/>
          <w:numId w:val="5"/>
        </w:numPr>
        <w:spacing w:after="200" w:line="276" w:lineRule="auto"/>
        <w:jc w:val="both"/>
        <w:rPr>
          <w:rFonts w:asciiTheme="majorHAnsi" w:hAnsiTheme="majorHAnsi"/>
          <w:b/>
        </w:rPr>
      </w:pPr>
      <w:proofErr w:type="gramStart"/>
      <w:r w:rsidRPr="0041175A">
        <w:rPr>
          <w:rFonts w:asciiTheme="majorHAnsi" w:hAnsiTheme="majorHAnsi"/>
        </w:rPr>
        <w:t>a</w:t>
      </w:r>
      <w:proofErr w:type="gramEnd"/>
      <w:r w:rsidRPr="0041175A">
        <w:rPr>
          <w:rFonts w:asciiTheme="majorHAnsi" w:hAnsiTheme="majorHAnsi"/>
        </w:rPr>
        <w:t xml:space="preserve"> concern, firm, trust, Hindu undivided family, company or association of persons wherein a director of a company or his immediate relative or banker of the company, has more than ten per cent of the holding or interest. </w:t>
      </w:r>
    </w:p>
    <w:p w:rsidR="00635E1E" w:rsidRPr="0041175A" w:rsidRDefault="00635E1E" w:rsidP="00635E1E">
      <w:pPr>
        <w:pStyle w:val="ListParagraph"/>
        <w:ind w:left="1800"/>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 xml:space="preserve">"Designated persons" </w:t>
      </w:r>
      <w:r w:rsidRPr="0041175A">
        <w:rPr>
          <w:rFonts w:asciiTheme="majorHAnsi" w:hAnsiTheme="majorHAnsi"/>
        </w:rPr>
        <w:t xml:space="preserve">shall mean all employees comprising the top three tiers of the Company’s management, and such other employees who may be so designated, from time to time, by the Board of Directors for the purpose of this Code and who may be able to have access to any ‘unpublished price sensitive information’ as defined in this Code or the Regulations. Top three tiers of the Company’s management shall include Board of Directors. </w:t>
      </w:r>
    </w:p>
    <w:p w:rsidR="00635E1E" w:rsidRPr="0041175A" w:rsidRDefault="00635E1E" w:rsidP="00635E1E">
      <w:pPr>
        <w:pStyle w:val="ListParagraph"/>
        <w:ind w:left="900"/>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“Generally available information”</w:t>
      </w:r>
      <w:r w:rsidRPr="0041175A">
        <w:rPr>
          <w:rFonts w:asciiTheme="majorHAnsi" w:hAnsiTheme="majorHAnsi"/>
        </w:rPr>
        <w:t xml:space="preserve"> means information that is accessible to the public on a non-discriminatory basis.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“Immediate relative”</w:t>
      </w:r>
      <w:r w:rsidRPr="0041175A">
        <w:rPr>
          <w:rFonts w:asciiTheme="majorHAnsi" w:hAnsiTheme="majorHAnsi"/>
        </w:rPr>
        <w:t xml:space="preserve"> means a spouse of a person, and includes parent, sibling, and child of such person or of the spouse, any of whom is either dependent financially on such person, or consults such person in taking decisions relating to trading in securities.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"Insider"</w:t>
      </w:r>
      <w:r w:rsidRPr="0041175A">
        <w:rPr>
          <w:rFonts w:asciiTheme="majorHAnsi" w:hAnsiTheme="majorHAnsi"/>
        </w:rPr>
        <w:t xml:space="preserve"> means any person who is- </w:t>
      </w:r>
    </w:p>
    <w:p w:rsidR="00635E1E" w:rsidRPr="0041175A" w:rsidRDefault="00635E1E" w:rsidP="00635E1E">
      <w:pPr>
        <w:pStyle w:val="ListParagraph"/>
        <w:numPr>
          <w:ilvl w:val="0"/>
          <w:numId w:val="6"/>
        </w:numPr>
        <w:spacing w:after="200" w:line="276" w:lineRule="auto"/>
        <w:jc w:val="both"/>
        <w:rPr>
          <w:rFonts w:asciiTheme="majorHAnsi" w:hAnsiTheme="majorHAnsi"/>
        </w:rPr>
      </w:pPr>
      <w:r w:rsidRPr="0041175A">
        <w:rPr>
          <w:rFonts w:asciiTheme="majorHAnsi" w:hAnsiTheme="majorHAnsi"/>
        </w:rPr>
        <w:t xml:space="preserve">a connected person, or </w:t>
      </w:r>
    </w:p>
    <w:p w:rsidR="00635E1E" w:rsidRPr="0041175A" w:rsidRDefault="00635E1E" w:rsidP="00635E1E">
      <w:pPr>
        <w:pStyle w:val="ListParagraph"/>
        <w:numPr>
          <w:ilvl w:val="0"/>
          <w:numId w:val="6"/>
        </w:numPr>
        <w:spacing w:after="200" w:line="276" w:lineRule="auto"/>
        <w:jc w:val="both"/>
        <w:rPr>
          <w:rFonts w:asciiTheme="majorHAnsi" w:hAnsiTheme="majorHAnsi"/>
        </w:rPr>
      </w:pPr>
      <w:r w:rsidRPr="0041175A">
        <w:rPr>
          <w:rFonts w:asciiTheme="majorHAnsi" w:hAnsiTheme="majorHAnsi"/>
        </w:rPr>
        <w:t xml:space="preserve">in possession of or having access to Unpublished Price Sensitive Information </w:t>
      </w:r>
    </w:p>
    <w:p w:rsidR="00635E1E" w:rsidRPr="0041175A" w:rsidRDefault="00635E1E" w:rsidP="00635E1E">
      <w:pPr>
        <w:pStyle w:val="ListParagraph"/>
        <w:ind w:left="1620"/>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b/>
        </w:rPr>
      </w:pPr>
      <w:r w:rsidRPr="0041175A">
        <w:rPr>
          <w:rFonts w:asciiTheme="majorHAnsi" w:hAnsiTheme="majorHAnsi"/>
          <w:b/>
        </w:rPr>
        <w:t xml:space="preserve">“Key managerial personnel”, </w:t>
      </w:r>
      <w:r w:rsidRPr="0041175A">
        <w:rPr>
          <w:rFonts w:asciiTheme="majorHAnsi" w:hAnsiTheme="majorHAnsi"/>
        </w:rPr>
        <w:t>in relation to the Company, means—</w:t>
      </w:r>
    </w:p>
    <w:p w:rsidR="00635E1E" w:rsidRPr="0041175A" w:rsidRDefault="00635E1E" w:rsidP="00635E1E">
      <w:pPr>
        <w:pStyle w:val="ListParagraph"/>
        <w:numPr>
          <w:ilvl w:val="0"/>
          <w:numId w:val="7"/>
        </w:numPr>
        <w:spacing w:after="200" w:line="276" w:lineRule="auto"/>
        <w:ind w:firstLine="120"/>
        <w:rPr>
          <w:rFonts w:asciiTheme="majorHAnsi" w:hAnsiTheme="majorHAnsi"/>
        </w:rPr>
      </w:pPr>
      <w:r w:rsidRPr="0041175A">
        <w:rPr>
          <w:rFonts w:asciiTheme="majorHAnsi" w:hAnsiTheme="majorHAnsi"/>
        </w:rPr>
        <w:t xml:space="preserve">  the Chief Executive Officer or the Managing Director or the manager; </w:t>
      </w:r>
    </w:p>
    <w:p w:rsidR="00635E1E" w:rsidRPr="0041175A" w:rsidRDefault="00635E1E" w:rsidP="00635E1E">
      <w:pPr>
        <w:pStyle w:val="ListParagraph"/>
        <w:numPr>
          <w:ilvl w:val="0"/>
          <w:numId w:val="7"/>
        </w:numPr>
        <w:spacing w:after="200" w:line="276" w:lineRule="auto"/>
        <w:ind w:firstLine="120"/>
        <w:rPr>
          <w:rFonts w:asciiTheme="majorHAnsi" w:hAnsiTheme="majorHAnsi"/>
        </w:rPr>
      </w:pPr>
      <w:r w:rsidRPr="0041175A">
        <w:rPr>
          <w:rFonts w:asciiTheme="majorHAnsi" w:hAnsiTheme="majorHAnsi"/>
        </w:rPr>
        <w:t xml:space="preserve">  the Company Secretary; </w:t>
      </w:r>
    </w:p>
    <w:p w:rsidR="00635E1E" w:rsidRPr="0041175A" w:rsidRDefault="00635E1E" w:rsidP="00635E1E">
      <w:pPr>
        <w:pStyle w:val="ListParagraph"/>
        <w:numPr>
          <w:ilvl w:val="0"/>
          <w:numId w:val="7"/>
        </w:numPr>
        <w:spacing w:after="200" w:line="276" w:lineRule="auto"/>
        <w:ind w:firstLine="120"/>
        <w:rPr>
          <w:rFonts w:asciiTheme="majorHAnsi" w:hAnsiTheme="majorHAnsi"/>
        </w:rPr>
      </w:pPr>
      <w:r w:rsidRPr="0041175A">
        <w:rPr>
          <w:rFonts w:asciiTheme="majorHAnsi" w:hAnsiTheme="majorHAnsi"/>
        </w:rPr>
        <w:t xml:space="preserve">  the Whole-time Director; </w:t>
      </w:r>
    </w:p>
    <w:p w:rsidR="00635E1E" w:rsidRPr="0041175A" w:rsidRDefault="00635E1E" w:rsidP="00635E1E">
      <w:pPr>
        <w:pStyle w:val="ListParagraph"/>
        <w:numPr>
          <w:ilvl w:val="0"/>
          <w:numId w:val="7"/>
        </w:numPr>
        <w:spacing w:after="200" w:line="276" w:lineRule="auto"/>
        <w:ind w:firstLine="120"/>
        <w:rPr>
          <w:rFonts w:asciiTheme="majorHAnsi" w:hAnsiTheme="majorHAnsi"/>
        </w:rPr>
      </w:pPr>
      <w:r w:rsidRPr="0041175A">
        <w:rPr>
          <w:rFonts w:asciiTheme="majorHAnsi" w:hAnsiTheme="majorHAnsi"/>
        </w:rPr>
        <w:t xml:space="preserve">  the Chief Financial Officer; and </w:t>
      </w:r>
    </w:p>
    <w:p w:rsidR="00635E1E" w:rsidRPr="0041175A" w:rsidRDefault="00635E1E" w:rsidP="00635E1E">
      <w:pPr>
        <w:pStyle w:val="ListParagraph"/>
        <w:numPr>
          <w:ilvl w:val="0"/>
          <w:numId w:val="7"/>
        </w:numPr>
        <w:spacing w:after="200" w:line="276" w:lineRule="auto"/>
        <w:ind w:firstLine="120"/>
        <w:rPr>
          <w:rFonts w:asciiTheme="majorHAnsi" w:hAnsiTheme="majorHAnsi"/>
        </w:rPr>
      </w:pPr>
      <w:r w:rsidRPr="0041175A">
        <w:rPr>
          <w:rFonts w:asciiTheme="majorHAnsi" w:hAnsiTheme="majorHAnsi"/>
        </w:rPr>
        <w:t xml:space="preserve">  </w:t>
      </w:r>
      <w:proofErr w:type="gramStart"/>
      <w:r w:rsidRPr="0041175A">
        <w:rPr>
          <w:rFonts w:asciiTheme="majorHAnsi" w:hAnsiTheme="majorHAnsi"/>
        </w:rPr>
        <w:t>such</w:t>
      </w:r>
      <w:proofErr w:type="gramEnd"/>
      <w:r w:rsidRPr="0041175A">
        <w:rPr>
          <w:rFonts w:asciiTheme="majorHAnsi" w:hAnsiTheme="majorHAnsi"/>
        </w:rPr>
        <w:t xml:space="preserve"> other officer as may be prescribed under the Companies Act. </w:t>
      </w:r>
    </w:p>
    <w:p w:rsidR="00635E1E" w:rsidRPr="0041175A" w:rsidRDefault="00635E1E" w:rsidP="00635E1E">
      <w:pPr>
        <w:pStyle w:val="ListParagraph"/>
        <w:ind w:left="900"/>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 xml:space="preserve">"Promoter" </w:t>
      </w:r>
      <w:r w:rsidRPr="0041175A">
        <w:rPr>
          <w:rFonts w:asciiTheme="majorHAnsi" w:hAnsiTheme="majorHAnsi"/>
        </w:rPr>
        <w:t xml:space="preserve">shall have the meaning assigned to it under the Securities and Exchange Board of India (Issue of Capital and Disclosure Requirements) Regulations, 2009 or any modification thereof. </w:t>
      </w:r>
    </w:p>
    <w:p w:rsidR="00635E1E" w:rsidRPr="0041175A" w:rsidRDefault="00635E1E" w:rsidP="00635E1E">
      <w:pPr>
        <w:pStyle w:val="ListParagraph"/>
        <w:ind w:left="900"/>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"Securities"</w:t>
      </w:r>
      <w:r w:rsidRPr="0041175A">
        <w:rPr>
          <w:rFonts w:asciiTheme="majorHAnsi" w:hAnsiTheme="majorHAnsi"/>
        </w:rPr>
        <w:t xml:space="preserve"> shall have the meaning assigned to it under the Securities Contracts (Regulation) Act, 1956 (42 of 1956) or any modification thereof except units of a mutual fund.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“Takeover regulations”</w:t>
      </w:r>
      <w:r w:rsidRPr="0041175A">
        <w:rPr>
          <w:rFonts w:asciiTheme="majorHAnsi" w:hAnsiTheme="majorHAnsi"/>
        </w:rPr>
        <w:t xml:space="preserve"> means the Securities and Exchange Board of India (Substantial Acquisition of Shares and Takeovers) Regulations, 2011 and any amendments thereto.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"Threshold limit"</w:t>
      </w:r>
      <w:r w:rsidRPr="0041175A">
        <w:rPr>
          <w:rFonts w:asciiTheme="majorHAnsi" w:hAnsiTheme="majorHAnsi"/>
        </w:rPr>
        <w:t xml:space="preserve"> means the value of the securities traded, whether in one transaction or a series of transactions over any calendar quarter, aggregating to a traded value of ten lakh rupees.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"Trading"</w:t>
      </w:r>
      <w:r w:rsidRPr="0041175A">
        <w:rPr>
          <w:rFonts w:asciiTheme="majorHAnsi" w:hAnsiTheme="majorHAnsi"/>
        </w:rPr>
        <w:t xml:space="preserve"> means and includes subscribing, buying, selling, dealing, or agreeing to subscribe, buy, sell, deal in any securities, and "trade" shall be construed accordingly.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lastRenderedPageBreak/>
        <w:t>“Trading day”</w:t>
      </w:r>
      <w:r w:rsidRPr="0041175A">
        <w:rPr>
          <w:rFonts w:asciiTheme="majorHAnsi" w:hAnsiTheme="majorHAnsi"/>
        </w:rPr>
        <w:t xml:space="preserve"> means a day on which the recognized stock exchanges are open for trading.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“Trading window”</w:t>
      </w:r>
      <w:r w:rsidRPr="0041175A">
        <w:rPr>
          <w:rFonts w:asciiTheme="majorHAnsi" w:hAnsiTheme="majorHAnsi"/>
        </w:rPr>
        <w:t xml:space="preserve"> means a trading period for trading in the Company's Securities as specified by the Company from time to time in Clause 9 of this Code.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1"/>
          <w:numId w:val="2"/>
        </w:numPr>
        <w:spacing w:after="200" w:line="276" w:lineRule="auto"/>
        <w:ind w:left="900" w:hanging="540"/>
        <w:jc w:val="both"/>
        <w:rPr>
          <w:rFonts w:asciiTheme="majorHAnsi" w:hAnsiTheme="majorHAnsi"/>
        </w:rPr>
      </w:pPr>
      <w:r w:rsidRPr="0041175A">
        <w:rPr>
          <w:rFonts w:asciiTheme="majorHAnsi" w:hAnsiTheme="majorHAnsi"/>
          <w:b/>
        </w:rPr>
        <w:t xml:space="preserve">"Unpublished price sensitive information" </w:t>
      </w:r>
      <w:r w:rsidRPr="0041175A">
        <w:rPr>
          <w:rFonts w:asciiTheme="majorHAnsi" w:hAnsiTheme="majorHAnsi"/>
        </w:rPr>
        <w:t xml:space="preserve">means any information, relating to the Company or its securities, directly or indirectly, that is not generally available which upon becoming generally available, is likely to materially affect the price of the securities and shall, ordinarily including but not restricted to, information relating to the following: – </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r w:rsidRPr="0041175A">
        <w:rPr>
          <w:rFonts w:asciiTheme="majorHAnsi" w:hAnsiTheme="majorHAnsi"/>
        </w:rPr>
        <w:t>financial results;</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r w:rsidRPr="0041175A">
        <w:rPr>
          <w:rFonts w:asciiTheme="majorHAnsi" w:hAnsiTheme="majorHAnsi"/>
        </w:rPr>
        <w:t xml:space="preserve">dividends; </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r w:rsidRPr="0041175A">
        <w:rPr>
          <w:rFonts w:asciiTheme="majorHAnsi" w:hAnsiTheme="majorHAnsi"/>
        </w:rPr>
        <w:t xml:space="preserve">change in capital structure; </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r w:rsidRPr="0041175A">
        <w:rPr>
          <w:rFonts w:asciiTheme="majorHAnsi" w:hAnsiTheme="majorHAnsi"/>
        </w:rPr>
        <w:t xml:space="preserve">mergers, de-mergers, acquisitions, </w:t>
      </w:r>
      <w:proofErr w:type="spellStart"/>
      <w:r w:rsidRPr="0041175A">
        <w:rPr>
          <w:rFonts w:asciiTheme="majorHAnsi" w:hAnsiTheme="majorHAnsi"/>
        </w:rPr>
        <w:t>delistings</w:t>
      </w:r>
      <w:proofErr w:type="spellEnd"/>
      <w:r w:rsidRPr="0041175A">
        <w:rPr>
          <w:rFonts w:asciiTheme="majorHAnsi" w:hAnsiTheme="majorHAnsi"/>
        </w:rPr>
        <w:t xml:space="preserve">, disposals and expansion of business and such other transactions; </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r w:rsidRPr="0041175A">
        <w:rPr>
          <w:rFonts w:asciiTheme="majorHAnsi" w:hAnsiTheme="majorHAnsi"/>
        </w:rPr>
        <w:t xml:space="preserve">changes in key managerial personnel; and </w:t>
      </w:r>
    </w:p>
    <w:p w:rsidR="00635E1E" w:rsidRPr="0041175A" w:rsidRDefault="00635E1E" w:rsidP="00635E1E">
      <w:pPr>
        <w:pStyle w:val="ListParagraph"/>
        <w:numPr>
          <w:ilvl w:val="0"/>
          <w:numId w:val="8"/>
        </w:numPr>
        <w:spacing w:after="200" w:line="276" w:lineRule="auto"/>
        <w:ind w:left="1440" w:hanging="540"/>
        <w:jc w:val="both"/>
        <w:rPr>
          <w:rFonts w:asciiTheme="majorHAnsi" w:hAnsiTheme="majorHAnsi"/>
        </w:rPr>
      </w:pPr>
      <w:proofErr w:type="gramStart"/>
      <w:r w:rsidRPr="0041175A">
        <w:rPr>
          <w:rFonts w:asciiTheme="majorHAnsi" w:hAnsiTheme="majorHAnsi"/>
        </w:rPr>
        <w:t>material</w:t>
      </w:r>
      <w:proofErr w:type="gramEnd"/>
      <w:r w:rsidRPr="0041175A">
        <w:rPr>
          <w:rFonts w:asciiTheme="majorHAnsi" w:hAnsiTheme="majorHAnsi"/>
        </w:rPr>
        <w:t xml:space="preserve"> events in accordance with the listing agreement. </w:t>
      </w:r>
    </w:p>
    <w:p w:rsidR="00635E1E" w:rsidRPr="0041175A" w:rsidRDefault="00635E1E" w:rsidP="00635E1E">
      <w:pPr>
        <w:ind w:left="720"/>
        <w:jc w:val="both"/>
        <w:rPr>
          <w:rFonts w:asciiTheme="majorHAnsi" w:hAnsiTheme="majorHAnsi"/>
        </w:rPr>
      </w:pPr>
      <w:r w:rsidRPr="0041175A">
        <w:rPr>
          <w:rFonts w:asciiTheme="majorHAnsi" w:hAnsiTheme="majorHAnsi"/>
        </w:rPr>
        <w:t xml:space="preserve">Words and expressions used and not defined in this Code but defined in the Regulations, Act, Companies Act, the Securities Contracts (Regulation) Act, 1956 (42 of 1956) or the Depositories Act, 1996 (22 of 1996) shall have the meanings respectively assigned to them in those legislations, as amended from time to time. </w:t>
      </w:r>
    </w:p>
    <w:p w:rsidR="00635E1E" w:rsidRPr="0041175A" w:rsidRDefault="00635E1E" w:rsidP="00635E1E">
      <w:pPr>
        <w:ind w:left="720"/>
        <w:jc w:val="bot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Functions, duties and responsibilities of the Compliance Officer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rPr>
          <w:rFonts w:asciiTheme="majorHAnsi" w:hAnsiTheme="majorHAnsi"/>
        </w:rPr>
      </w:pPr>
      <w:r w:rsidRPr="0041175A">
        <w:rPr>
          <w:rFonts w:asciiTheme="majorHAnsi" w:hAnsiTheme="majorHAnsi"/>
        </w:rPr>
        <w:t xml:space="preserve">The Compliance Officer, subject to the supervision of the Board of Directors shall be responsible for –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Setting forth policies, procedures, monitoring adherence to the Code and Regulations for the preservation of unpublished price sensitive information, approval of trading plan, pre-clearance of trades and monitoring of trades and implementation of this Code.</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 xml:space="preserve">Maintaining the record of the Promoters, Directors, Key Managerial Personnel, Designated Persons and other connected persons and incorporate changes from time to time.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 xml:space="preserve">Assisting all employees in addressing any clarifications in the Regulations or this Code.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 xml:space="preserve">Advising all Designated Persons not to trade in securities of the Company when the Trading Window is closed.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 xml:space="preserve">Advising all Directors, Promoters, Key managerial personnel and Designated Persons to furnish the details of transactions in the securities of the Company as stated in clauses 10-12 in the prescribed form and to maintain a record of all the intimations received for a period of at least five years.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9"/>
        </w:numPr>
        <w:spacing w:after="200" w:line="276" w:lineRule="auto"/>
        <w:jc w:val="both"/>
        <w:rPr>
          <w:rFonts w:asciiTheme="majorHAnsi" w:hAnsiTheme="majorHAnsi"/>
        </w:rPr>
      </w:pPr>
      <w:r w:rsidRPr="0041175A">
        <w:rPr>
          <w:rFonts w:asciiTheme="majorHAnsi" w:hAnsiTheme="majorHAnsi"/>
        </w:rPr>
        <w:t xml:space="preserve">Maintaining records of all disclosures as stated in clauses 10-13 of this Code and to report the same to the Chairman of the Audit Committee, on a half yearly basis. </w:t>
      </w:r>
    </w:p>
    <w:p w:rsidR="00635E1E" w:rsidRPr="0041175A" w:rsidRDefault="00635E1E" w:rsidP="00635E1E">
      <w:pPr>
        <w:pStyle w:val="ListParagraph"/>
        <w:rPr>
          <w:rFonts w:asciiTheme="majorHAnsi" w:hAnsiTheme="majorHAnsi"/>
        </w:rPr>
      </w:pPr>
    </w:p>
    <w:p w:rsidR="00635E1E"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Communication or procurement of unpublished price sensitive information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t xml:space="preserve">All information is to be handled on a "need to know" basis. It should be disclosed only to those within the Company who need the information to discharge their duty.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lastRenderedPageBreak/>
        <w:t xml:space="preserve">No insider shall communicate, provide, or allow access to any unpublished price sensitive information, relating to a Company or securities, to any person including other insiders except where such communication is in furtherance of legitimate purposes, performance of duties or discharge of legal obligations.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t xml:space="preserve">Files containing confidential information shall be kept secure. Computer files must have adequate security of login and password etc.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t xml:space="preserve">No person shall procure from or cause the communication by any insider of unpublished price sensitive information, relating to the Company or securities listed or proposed to be listed, except in furtherance of legitimate purposes, performance of duties or discharge of legal obligations.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t xml:space="preserve">Notwithstanding anything contained above, an unpublished price sensitive information may be communicated, provided, allowed access to or procured, in connection with a transaction that would:–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1"/>
        </w:numPr>
        <w:spacing w:after="200" w:line="276" w:lineRule="auto"/>
        <w:ind w:left="1260" w:hanging="540"/>
        <w:jc w:val="both"/>
        <w:rPr>
          <w:rFonts w:asciiTheme="majorHAnsi" w:hAnsiTheme="majorHAnsi"/>
        </w:rPr>
      </w:pPr>
      <w:r w:rsidRPr="0041175A">
        <w:rPr>
          <w:rFonts w:asciiTheme="majorHAnsi" w:hAnsiTheme="majorHAnsi"/>
        </w:rPr>
        <w:t xml:space="preserve">entail an obligation to make an open offer under the takeover regulations where the Board of Directors is of informed opinion that the proposed transaction is in the best interests of the Company; </w:t>
      </w:r>
    </w:p>
    <w:p w:rsidR="00635E1E" w:rsidRPr="0041175A" w:rsidRDefault="00635E1E" w:rsidP="00635E1E">
      <w:pPr>
        <w:pStyle w:val="ListParagraph"/>
        <w:numPr>
          <w:ilvl w:val="0"/>
          <w:numId w:val="11"/>
        </w:numPr>
        <w:spacing w:after="200" w:line="276" w:lineRule="auto"/>
        <w:ind w:left="1260" w:hanging="540"/>
        <w:jc w:val="both"/>
        <w:rPr>
          <w:rFonts w:asciiTheme="majorHAnsi" w:hAnsiTheme="majorHAnsi"/>
        </w:rPr>
      </w:pPr>
      <w:r w:rsidRPr="0041175A">
        <w:rPr>
          <w:rFonts w:asciiTheme="majorHAnsi" w:hAnsiTheme="majorHAnsi"/>
        </w:rPr>
        <w:t xml:space="preserve">not attract the obligation to make an open offer under the takeover regulations but where the Board of Directors is of informed opinion that the proposed transaction is in the best interests of the Company and the information that constitute unpublished price sensitive information is disseminated to be made generally available at least two trading days prior to the proposed transaction being effected in such form as the Board of Directors may determine. </w:t>
      </w:r>
    </w:p>
    <w:p w:rsidR="00635E1E" w:rsidRPr="0041175A" w:rsidRDefault="00635E1E" w:rsidP="00635E1E">
      <w:pPr>
        <w:pStyle w:val="ListParagraph"/>
        <w:spacing w:after="200" w:line="276" w:lineRule="auto"/>
        <w:ind w:left="1260"/>
        <w:jc w:val="both"/>
        <w:rPr>
          <w:rFonts w:asciiTheme="majorHAnsi" w:hAnsiTheme="majorHAnsi"/>
        </w:rPr>
      </w:pPr>
    </w:p>
    <w:p w:rsidR="00635E1E" w:rsidRPr="0041175A" w:rsidRDefault="00635E1E" w:rsidP="00635E1E">
      <w:pPr>
        <w:pStyle w:val="ListParagraph"/>
        <w:numPr>
          <w:ilvl w:val="0"/>
          <w:numId w:val="10"/>
        </w:numPr>
        <w:spacing w:after="200" w:line="276" w:lineRule="auto"/>
        <w:jc w:val="both"/>
        <w:rPr>
          <w:rFonts w:asciiTheme="majorHAnsi" w:hAnsiTheme="majorHAnsi"/>
        </w:rPr>
      </w:pPr>
      <w:r w:rsidRPr="0041175A">
        <w:rPr>
          <w:rFonts w:asciiTheme="majorHAnsi" w:hAnsiTheme="majorHAnsi"/>
        </w:rPr>
        <w:t xml:space="preserve">For purposes of sub-clause (5) above, the Board of Directors shall require the parties to execute agreements to contract confidentiality and non-disclosure obligations on the part of such parties and such parties shall keep information so received confidential, except for the purpose of sub-clause (5) above, and shall not otherwise trade in securities of the Company when in possession of unpublished price sensitive information.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Restriction on trading when in possession of unpublished price sensitive information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2"/>
        </w:numPr>
        <w:spacing w:after="200" w:line="276" w:lineRule="auto"/>
        <w:jc w:val="both"/>
        <w:rPr>
          <w:rFonts w:asciiTheme="majorHAnsi" w:hAnsiTheme="majorHAnsi"/>
        </w:rPr>
      </w:pPr>
      <w:r w:rsidRPr="0041175A">
        <w:rPr>
          <w:rFonts w:asciiTheme="majorHAnsi" w:hAnsiTheme="majorHAnsi"/>
        </w:rPr>
        <w:t xml:space="preserve">Save as provided in this Code and the Regulations, no insider shall trade in securities of the Company when in possession of unpublished price sensitive information.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2"/>
        </w:numPr>
        <w:spacing w:after="200" w:line="276" w:lineRule="auto"/>
        <w:jc w:val="both"/>
        <w:rPr>
          <w:rFonts w:asciiTheme="majorHAnsi" w:hAnsiTheme="majorHAnsi"/>
        </w:rPr>
      </w:pPr>
      <w:r w:rsidRPr="0041175A">
        <w:rPr>
          <w:rFonts w:asciiTheme="majorHAnsi" w:hAnsiTheme="majorHAnsi"/>
        </w:rPr>
        <w:t xml:space="preserve">Insiders shall maintain the confidentiality of all unpublished price sensitive information. They shall, while in possession of any unpublished price sensitive information, neither trade in the securities of the Company on the basis of unpublished price sensitive information nor pass on such information to any person directly or indirectly by way of making a recommendation for trading in securities of the Company. Prevention of misuse of unpublished price sensitive information: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Trading Plans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3"/>
        </w:numPr>
        <w:spacing w:after="200" w:line="276" w:lineRule="auto"/>
        <w:jc w:val="both"/>
        <w:rPr>
          <w:rFonts w:asciiTheme="majorHAnsi" w:hAnsiTheme="majorHAnsi"/>
        </w:rPr>
      </w:pPr>
      <w:r w:rsidRPr="0041175A">
        <w:rPr>
          <w:rFonts w:asciiTheme="majorHAnsi" w:hAnsiTheme="majorHAnsi"/>
        </w:rPr>
        <w:t xml:space="preserve">An insider shall be entitled to formulate a trading plan and present it to the Compliance Officer for approval and public disclosure pursuant to which trades may be carried out on his behalf in accordance with such plan.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3"/>
        </w:numPr>
        <w:spacing w:after="200" w:line="276" w:lineRule="auto"/>
        <w:jc w:val="both"/>
        <w:rPr>
          <w:rFonts w:asciiTheme="majorHAnsi" w:hAnsiTheme="majorHAnsi"/>
        </w:rPr>
      </w:pPr>
      <w:r w:rsidRPr="0041175A">
        <w:rPr>
          <w:rFonts w:asciiTheme="majorHAnsi" w:hAnsiTheme="majorHAnsi"/>
        </w:rPr>
        <w:t xml:space="preserve">Such trading plan shall: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r w:rsidRPr="0041175A">
        <w:rPr>
          <w:rFonts w:asciiTheme="majorHAnsi" w:hAnsiTheme="majorHAnsi"/>
        </w:rPr>
        <w:t xml:space="preserve">not entail commencement of trading on behalf of the insider earlier than six months from the public disclosure of the plan;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r w:rsidRPr="0041175A">
        <w:rPr>
          <w:rFonts w:asciiTheme="majorHAnsi" w:hAnsiTheme="majorHAnsi"/>
        </w:rPr>
        <w:t xml:space="preserve">not entail trading for the period between the twentieth trading day prior to the last day of any financial period for which results are required to be announced and the second trading day after the disclosure of such financial results;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r w:rsidRPr="0041175A">
        <w:rPr>
          <w:rFonts w:asciiTheme="majorHAnsi" w:hAnsiTheme="majorHAnsi"/>
        </w:rPr>
        <w:t xml:space="preserve">entail trading for a period of not less than twelve months;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r w:rsidRPr="0041175A">
        <w:rPr>
          <w:rFonts w:asciiTheme="majorHAnsi" w:hAnsiTheme="majorHAnsi"/>
        </w:rPr>
        <w:lastRenderedPageBreak/>
        <w:t xml:space="preserve">not entail overlap of any period for which another trading plan is already in existence;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r w:rsidRPr="0041175A">
        <w:rPr>
          <w:rFonts w:asciiTheme="majorHAnsi" w:hAnsiTheme="majorHAnsi"/>
        </w:rPr>
        <w:t xml:space="preserve">set out either the value of trades to be effected or the number of securities to be traded along with the nature of the trade and the intervals at, or dates on which such trades shall be effected; and </w:t>
      </w:r>
    </w:p>
    <w:p w:rsidR="00635E1E" w:rsidRPr="0041175A" w:rsidRDefault="00635E1E" w:rsidP="00635E1E">
      <w:pPr>
        <w:pStyle w:val="ListParagraph"/>
        <w:numPr>
          <w:ilvl w:val="0"/>
          <w:numId w:val="14"/>
        </w:numPr>
        <w:spacing w:after="200" w:line="276" w:lineRule="auto"/>
        <w:ind w:left="1260" w:hanging="540"/>
        <w:jc w:val="both"/>
        <w:rPr>
          <w:rFonts w:asciiTheme="majorHAnsi" w:hAnsiTheme="majorHAnsi"/>
        </w:rPr>
      </w:pPr>
      <w:proofErr w:type="gramStart"/>
      <w:r w:rsidRPr="0041175A">
        <w:rPr>
          <w:rFonts w:asciiTheme="majorHAnsi" w:hAnsiTheme="majorHAnsi"/>
        </w:rPr>
        <w:t>not</w:t>
      </w:r>
      <w:proofErr w:type="gramEnd"/>
      <w:r w:rsidRPr="0041175A">
        <w:rPr>
          <w:rFonts w:asciiTheme="majorHAnsi" w:hAnsiTheme="majorHAnsi"/>
        </w:rPr>
        <w:t xml:space="preserve"> entail trading in securities for market abuse. </w:t>
      </w:r>
    </w:p>
    <w:p w:rsidR="00635E1E" w:rsidRPr="0041175A" w:rsidRDefault="00635E1E" w:rsidP="00635E1E">
      <w:pPr>
        <w:pStyle w:val="ListParagraph"/>
        <w:ind w:left="1260"/>
        <w:rPr>
          <w:rFonts w:asciiTheme="majorHAnsi" w:hAnsiTheme="majorHAnsi"/>
        </w:rPr>
      </w:pPr>
    </w:p>
    <w:p w:rsidR="00635E1E" w:rsidRPr="0041175A" w:rsidRDefault="00635E1E" w:rsidP="00635E1E">
      <w:pPr>
        <w:pStyle w:val="ListParagraph"/>
        <w:numPr>
          <w:ilvl w:val="0"/>
          <w:numId w:val="13"/>
        </w:numPr>
        <w:spacing w:after="200" w:line="276" w:lineRule="auto"/>
        <w:jc w:val="both"/>
        <w:rPr>
          <w:rFonts w:asciiTheme="majorHAnsi" w:hAnsiTheme="majorHAnsi"/>
        </w:rPr>
      </w:pPr>
      <w:r w:rsidRPr="0041175A">
        <w:rPr>
          <w:rFonts w:asciiTheme="majorHAnsi" w:hAnsiTheme="majorHAnsi"/>
        </w:rPr>
        <w:t>The Compliance Officer shall review the trading plan to assess whether the plan would have any potential for violation of these regulations and shall be entitled to seek express undertakings that:</w:t>
      </w:r>
    </w:p>
    <w:p w:rsidR="00635E1E" w:rsidRPr="0041175A" w:rsidRDefault="00635E1E" w:rsidP="00635E1E">
      <w:pPr>
        <w:pStyle w:val="ListParagraph"/>
        <w:rPr>
          <w:rFonts w:asciiTheme="majorHAnsi" w:hAnsiTheme="majorHAnsi"/>
        </w:rPr>
      </w:pPr>
      <w:r w:rsidRPr="0041175A">
        <w:rPr>
          <w:rFonts w:asciiTheme="majorHAnsi" w:hAnsiTheme="majorHAnsi"/>
        </w:rPr>
        <w:t xml:space="preserve"> </w:t>
      </w:r>
    </w:p>
    <w:p w:rsidR="00635E1E" w:rsidRPr="0041175A" w:rsidRDefault="00635E1E" w:rsidP="00635E1E">
      <w:pPr>
        <w:pStyle w:val="ListParagraph"/>
        <w:numPr>
          <w:ilvl w:val="0"/>
          <w:numId w:val="15"/>
        </w:numPr>
        <w:spacing w:after="200" w:line="276" w:lineRule="auto"/>
        <w:ind w:left="1260" w:hanging="540"/>
        <w:jc w:val="both"/>
        <w:rPr>
          <w:rFonts w:asciiTheme="majorHAnsi" w:hAnsiTheme="majorHAnsi"/>
        </w:rPr>
      </w:pPr>
      <w:r w:rsidRPr="0041175A">
        <w:rPr>
          <w:rFonts w:asciiTheme="majorHAnsi" w:hAnsiTheme="majorHAnsi"/>
        </w:rPr>
        <w:t xml:space="preserve">the person is not in possession of unpublished price sensitive information; or </w:t>
      </w:r>
    </w:p>
    <w:p w:rsidR="00635E1E" w:rsidRPr="0041175A" w:rsidRDefault="00635E1E" w:rsidP="00635E1E">
      <w:pPr>
        <w:pStyle w:val="ListParagraph"/>
        <w:numPr>
          <w:ilvl w:val="0"/>
          <w:numId w:val="15"/>
        </w:numPr>
        <w:spacing w:after="200" w:line="276" w:lineRule="auto"/>
        <w:ind w:left="1260" w:hanging="540"/>
        <w:jc w:val="both"/>
        <w:rPr>
          <w:rFonts w:asciiTheme="majorHAnsi" w:hAnsiTheme="majorHAnsi"/>
        </w:rPr>
      </w:pPr>
      <w:r w:rsidRPr="0041175A">
        <w:rPr>
          <w:rFonts w:asciiTheme="majorHAnsi" w:hAnsiTheme="majorHAnsi"/>
        </w:rPr>
        <w:t xml:space="preserve">he would ensure that any unpublished price sensitive information in his possession becomes generally available before he commences his trades; </w:t>
      </w:r>
    </w:p>
    <w:p w:rsidR="00635E1E" w:rsidRPr="0041175A" w:rsidRDefault="00635E1E" w:rsidP="00635E1E">
      <w:pPr>
        <w:ind w:left="720"/>
        <w:jc w:val="both"/>
        <w:rPr>
          <w:rFonts w:asciiTheme="majorHAnsi" w:hAnsiTheme="majorHAnsi"/>
        </w:rPr>
      </w:pPr>
      <w:proofErr w:type="gramStart"/>
      <w:r w:rsidRPr="0041175A">
        <w:rPr>
          <w:rFonts w:asciiTheme="majorHAnsi" w:hAnsiTheme="majorHAnsi"/>
        </w:rPr>
        <w:t>or</w:t>
      </w:r>
      <w:proofErr w:type="gramEnd"/>
      <w:r w:rsidRPr="0041175A">
        <w:rPr>
          <w:rFonts w:asciiTheme="majorHAnsi" w:hAnsiTheme="majorHAnsi"/>
        </w:rPr>
        <w:t xml:space="preserve"> such other undertaking as may be necessary to enable such assessment and to approve and monitor the implementation of the plan. The Compliance Officer may thereafter approve the plan.</w:t>
      </w:r>
    </w:p>
    <w:p w:rsidR="00635E1E" w:rsidRPr="0041175A" w:rsidRDefault="00635E1E" w:rsidP="00635E1E">
      <w:pPr>
        <w:ind w:left="720"/>
        <w:jc w:val="both"/>
        <w:rPr>
          <w:rFonts w:asciiTheme="majorHAnsi" w:hAnsiTheme="majorHAnsi"/>
        </w:rPr>
      </w:pPr>
      <w:r w:rsidRPr="0041175A">
        <w:rPr>
          <w:rFonts w:asciiTheme="majorHAnsi" w:hAnsiTheme="majorHAnsi"/>
        </w:rPr>
        <w:t xml:space="preserve"> </w:t>
      </w:r>
    </w:p>
    <w:p w:rsidR="00635E1E" w:rsidRPr="0041175A" w:rsidRDefault="00635E1E" w:rsidP="00635E1E">
      <w:pPr>
        <w:pStyle w:val="ListParagraph"/>
        <w:numPr>
          <w:ilvl w:val="0"/>
          <w:numId w:val="13"/>
        </w:numPr>
        <w:spacing w:after="200" w:line="276" w:lineRule="auto"/>
        <w:jc w:val="both"/>
        <w:rPr>
          <w:rFonts w:asciiTheme="majorHAnsi" w:hAnsiTheme="majorHAnsi"/>
        </w:rPr>
      </w:pPr>
      <w:r w:rsidRPr="0041175A">
        <w:rPr>
          <w:rFonts w:asciiTheme="majorHAnsi" w:hAnsiTheme="majorHAnsi"/>
        </w:rPr>
        <w:t xml:space="preserve">The trading plan once approved shall be irrevocable and the insider shall mandatorily have to implement the plan, without being entitled to either deviate from it or to execute any trade in the securities outside the scope of the trading plan. </w:t>
      </w:r>
    </w:p>
    <w:p w:rsidR="00635E1E" w:rsidRPr="0041175A" w:rsidRDefault="00635E1E" w:rsidP="00635E1E">
      <w:pPr>
        <w:pStyle w:val="ListParagraph"/>
        <w:rPr>
          <w:rFonts w:asciiTheme="majorHAnsi" w:hAnsiTheme="majorHAnsi"/>
          <w:i/>
        </w:rPr>
      </w:pPr>
    </w:p>
    <w:p w:rsidR="00635E1E" w:rsidRPr="0041175A" w:rsidRDefault="00635E1E" w:rsidP="00635E1E">
      <w:pPr>
        <w:pStyle w:val="ListParagraph"/>
        <w:rPr>
          <w:rFonts w:asciiTheme="majorHAnsi" w:hAnsiTheme="majorHAnsi"/>
        </w:rPr>
      </w:pPr>
      <w:r w:rsidRPr="0041175A">
        <w:rPr>
          <w:rFonts w:asciiTheme="majorHAnsi" w:hAnsiTheme="majorHAnsi"/>
          <w:i/>
        </w:rPr>
        <w:t>Provided that</w:t>
      </w:r>
      <w:r w:rsidRPr="0041175A">
        <w:rPr>
          <w:rFonts w:asciiTheme="majorHAnsi" w:hAnsiTheme="majorHAnsi"/>
        </w:rPr>
        <w:t xml:space="preserve"> the implementation of the trading plan shall not be commenced if any unpublished price sensitive information in possession of the insider at the time of formulation of the plan has not become generally available at the time of the commencement of implementation and in such event the compliance officer shall confirm that the commencement ought to be deferred until such unpublished price sensitive information becomes generally available information.</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3"/>
        </w:numPr>
        <w:spacing w:after="200" w:line="276" w:lineRule="auto"/>
        <w:jc w:val="both"/>
        <w:rPr>
          <w:rFonts w:asciiTheme="majorHAnsi" w:hAnsiTheme="majorHAnsi"/>
        </w:rPr>
      </w:pPr>
      <w:r w:rsidRPr="0041175A">
        <w:rPr>
          <w:rFonts w:asciiTheme="majorHAnsi" w:hAnsiTheme="majorHAnsi"/>
        </w:rPr>
        <w:t xml:space="preserve">Upon approval of the trading plan, the Compliance Officer shall notify the plan to the stock exchanges on which the securities are listed.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Trading Window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t xml:space="preserve">Designated persons may execute trades subject to compliance with this Code and the Regulations. Towards this end, a notional trading window shall be used as an instrument of monitoring trading by the Designated Persons. The trading window shall be closed when the Compliance Officer determines that a Designated Person or class of Designated Persons can reasonably be expected to have possession of unpublished price sensitive information. Such closure shall be imposed in relation to such securities to which such unpublished price sensitive information relates. Designated Persons and their immediate relatives shall not trade in securities when the trading window is closed.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t xml:space="preserve">The trading window shall also be applicable to any person having contractual or fiduciary relation with the Company, such as auditors, accountancy firms, law firms, analysts, consultants etc. and their immediate relatives, assisting or advising the Company.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t xml:space="preserve">The notice of closure of Trading Window intimated to the Stock Exchanges, if any, wherever the securities of the Company are listed, by the Compliance Officer, shall be deemed as intimation to the Designated Persons / Insiders for adherence and compliance with this Code.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t xml:space="preserve">The timing for re-opening of the trading window shall be determined by the Compliance Officer taking into account various factors including the unpublished price sensitive information in question becoming generally available and being capable of assimilation by the market, which in any event shall not be earlier than </w:t>
      </w:r>
      <w:r w:rsidR="0041175A">
        <w:rPr>
          <w:rFonts w:asciiTheme="majorHAnsi" w:hAnsiTheme="majorHAnsi"/>
        </w:rPr>
        <w:t>twenty-four</w:t>
      </w:r>
      <w:r w:rsidRPr="0041175A">
        <w:rPr>
          <w:rFonts w:asciiTheme="majorHAnsi" w:hAnsiTheme="majorHAnsi"/>
        </w:rPr>
        <w:t xml:space="preserve"> hours after the information becomes generally available.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lastRenderedPageBreak/>
        <w:t xml:space="preserve">The "Trading Window" shall, inter-alia, remain closed from: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17"/>
        </w:numPr>
        <w:spacing w:after="200" w:line="276" w:lineRule="auto"/>
        <w:jc w:val="both"/>
        <w:rPr>
          <w:rFonts w:asciiTheme="majorHAnsi" w:hAnsiTheme="majorHAnsi"/>
        </w:rPr>
      </w:pPr>
      <w:r w:rsidRPr="0041175A">
        <w:rPr>
          <w:rFonts w:asciiTheme="majorHAnsi" w:hAnsiTheme="majorHAnsi"/>
        </w:rPr>
        <w:t xml:space="preserve">the date of intimation, to the Stock Exchanges, of the date of Board Meeting/Committee Meeting for declaration /publication of the Annual /Half Yearly /Quarterly financial results or recommendation/declaration of dividend, until </w:t>
      </w:r>
      <w:r w:rsidR="00B935C5">
        <w:rPr>
          <w:rFonts w:asciiTheme="majorHAnsi" w:hAnsiTheme="majorHAnsi"/>
        </w:rPr>
        <w:t>24</w:t>
      </w:r>
      <w:r w:rsidRPr="0041175A">
        <w:rPr>
          <w:rFonts w:asciiTheme="majorHAnsi" w:hAnsiTheme="majorHAnsi"/>
        </w:rPr>
        <w:t xml:space="preserve"> hours after the said results/dividend detail is made generally available; and </w:t>
      </w:r>
    </w:p>
    <w:p w:rsidR="00635E1E" w:rsidRPr="0041175A" w:rsidRDefault="00635E1E" w:rsidP="00635E1E">
      <w:pPr>
        <w:pStyle w:val="ListParagraph"/>
        <w:numPr>
          <w:ilvl w:val="0"/>
          <w:numId w:val="17"/>
        </w:numPr>
        <w:spacing w:after="200" w:line="276" w:lineRule="auto"/>
        <w:jc w:val="both"/>
        <w:rPr>
          <w:rFonts w:asciiTheme="majorHAnsi" w:hAnsiTheme="majorHAnsi"/>
        </w:rPr>
      </w:pPr>
      <w:r w:rsidRPr="0041175A">
        <w:rPr>
          <w:rFonts w:asciiTheme="majorHAnsi" w:hAnsiTheme="majorHAnsi"/>
        </w:rPr>
        <w:t xml:space="preserve">the actual date of Board Meeting/Committee Meeting; until </w:t>
      </w:r>
      <w:r w:rsidR="00B935C5">
        <w:rPr>
          <w:rFonts w:asciiTheme="majorHAnsi" w:hAnsiTheme="majorHAnsi"/>
        </w:rPr>
        <w:t>24</w:t>
      </w:r>
      <w:r w:rsidRPr="0041175A">
        <w:rPr>
          <w:rFonts w:asciiTheme="majorHAnsi" w:hAnsiTheme="majorHAnsi"/>
        </w:rPr>
        <w:t xml:space="preserve"> hours after the decision is made generally available, wherein, decision is required to be taken on the following matters:</w:t>
      </w:r>
    </w:p>
    <w:p w:rsidR="00635E1E" w:rsidRPr="0041175A" w:rsidRDefault="00635E1E" w:rsidP="00635E1E">
      <w:pPr>
        <w:pStyle w:val="ListParagraph"/>
        <w:numPr>
          <w:ilvl w:val="0"/>
          <w:numId w:val="19"/>
        </w:numPr>
        <w:spacing w:after="200" w:line="276" w:lineRule="auto"/>
        <w:ind w:hanging="720"/>
        <w:jc w:val="both"/>
        <w:rPr>
          <w:rFonts w:asciiTheme="majorHAnsi" w:hAnsiTheme="majorHAnsi"/>
        </w:rPr>
      </w:pPr>
      <w:r w:rsidRPr="0041175A">
        <w:rPr>
          <w:rFonts w:asciiTheme="majorHAnsi" w:hAnsiTheme="majorHAnsi"/>
        </w:rPr>
        <w:t>change in capital structure;</w:t>
      </w:r>
    </w:p>
    <w:p w:rsidR="00635E1E" w:rsidRPr="0041175A" w:rsidRDefault="00635E1E" w:rsidP="00635E1E">
      <w:pPr>
        <w:pStyle w:val="ListParagraph"/>
        <w:numPr>
          <w:ilvl w:val="0"/>
          <w:numId w:val="19"/>
        </w:numPr>
        <w:spacing w:after="200" w:line="276" w:lineRule="auto"/>
        <w:ind w:hanging="720"/>
        <w:jc w:val="both"/>
        <w:rPr>
          <w:rFonts w:asciiTheme="majorHAnsi" w:hAnsiTheme="majorHAnsi"/>
        </w:rPr>
      </w:pPr>
      <w:r w:rsidRPr="0041175A">
        <w:rPr>
          <w:rFonts w:asciiTheme="majorHAnsi" w:hAnsiTheme="majorHAnsi"/>
        </w:rPr>
        <w:t xml:space="preserve">mergers, de-mergers, acquisitions, </w:t>
      </w:r>
      <w:r w:rsidR="00B935C5" w:rsidRPr="0041175A">
        <w:rPr>
          <w:rFonts w:asciiTheme="majorHAnsi" w:hAnsiTheme="majorHAnsi"/>
        </w:rPr>
        <w:t>delisting’s</w:t>
      </w:r>
      <w:r w:rsidRPr="0041175A">
        <w:rPr>
          <w:rFonts w:asciiTheme="majorHAnsi" w:hAnsiTheme="majorHAnsi"/>
        </w:rPr>
        <w:t>, disposals and expansion of business and such other transactions;</w:t>
      </w:r>
    </w:p>
    <w:p w:rsidR="00635E1E" w:rsidRPr="0041175A" w:rsidRDefault="00635E1E" w:rsidP="00635E1E">
      <w:pPr>
        <w:pStyle w:val="ListParagraph"/>
        <w:numPr>
          <w:ilvl w:val="0"/>
          <w:numId w:val="19"/>
        </w:numPr>
        <w:spacing w:after="200" w:line="276" w:lineRule="auto"/>
        <w:ind w:hanging="720"/>
        <w:jc w:val="both"/>
        <w:rPr>
          <w:rFonts w:asciiTheme="majorHAnsi" w:hAnsiTheme="majorHAnsi"/>
        </w:rPr>
      </w:pPr>
      <w:r w:rsidRPr="0041175A">
        <w:rPr>
          <w:rFonts w:asciiTheme="majorHAnsi" w:hAnsiTheme="majorHAnsi"/>
        </w:rPr>
        <w:t xml:space="preserve">changes in key managerial personnel; and </w:t>
      </w:r>
    </w:p>
    <w:p w:rsidR="00635E1E" w:rsidRPr="0041175A" w:rsidRDefault="00635E1E" w:rsidP="00635E1E">
      <w:pPr>
        <w:pStyle w:val="ListParagraph"/>
        <w:numPr>
          <w:ilvl w:val="0"/>
          <w:numId w:val="19"/>
        </w:numPr>
        <w:spacing w:after="200" w:line="276" w:lineRule="auto"/>
        <w:ind w:hanging="720"/>
        <w:jc w:val="both"/>
        <w:rPr>
          <w:rFonts w:asciiTheme="majorHAnsi" w:hAnsiTheme="majorHAnsi"/>
        </w:rPr>
      </w:pPr>
      <w:proofErr w:type="gramStart"/>
      <w:r w:rsidRPr="0041175A">
        <w:rPr>
          <w:rFonts w:asciiTheme="majorHAnsi" w:hAnsiTheme="majorHAnsi"/>
        </w:rPr>
        <w:t>material</w:t>
      </w:r>
      <w:proofErr w:type="gramEnd"/>
      <w:r w:rsidRPr="0041175A">
        <w:rPr>
          <w:rFonts w:asciiTheme="majorHAnsi" w:hAnsiTheme="majorHAnsi"/>
        </w:rPr>
        <w:t xml:space="preserve"> events in accordance with the listing agreement.  </w:t>
      </w:r>
    </w:p>
    <w:p w:rsidR="00635E1E" w:rsidRPr="0041175A" w:rsidRDefault="00635E1E" w:rsidP="00635E1E">
      <w:pPr>
        <w:pStyle w:val="ListParagraph"/>
        <w:ind w:left="1440"/>
        <w:rPr>
          <w:rFonts w:asciiTheme="majorHAnsi" w:hAnsiTheme="majorHAnsi"/>
        </w:rPr>
      </w:pPr>
    </w:p>
    <w:p w:rsidR="00635E1E" w:rsidRPr="0041175A" w:rsidRDefault="00635E1E" w:rsidP="00635E1E">
      <w:pPr>
        <w:pStyle w:val="ListParagraph"/>
        <w:numPr>
          <w:ilvl w:val="0"/>
          <w:numId w:val="16"/>
        </w:numPr>
        <w:spacing w:after="200" w:line="276" w:lineRule="auto"/>
        <w:jc w:val="both"/>
        <w:rPr>
          <w:rFonts w:asciiTheme="majorHAnsi" w:hAnsiTheme="majorHAnsi"/>
        </w:rPr>
      </w:pPr>
      <w:r w:rsidRPr="0041175A">
        <w:rPr>
          <w:rFonts w:asciiTheme="majorHAnsi" w:hAnsiTheme="majorHAnsi"/>
        </w:rPr>
        <w:t xml:space="preserve">Trading Window may be closed by the Company during such time in addition to the above period, as it may deem fit by the Compliance Officer.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Pre-clearance of Trades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When the trading window is open, trading by Designated Persons and their immediate relatives shall be subject to pre-clearance by the Compliance Officer, if the value of the proposed trades is above threshold limit. No Designated Person/their immediate relatives shall apply for pre-clearance of any proposed trade if they are in possession of unpublished price sensitive information even if the trading window is not closed.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Designated Persons / their immediate relatives intending to deal in the securities of the Company up</w:t>
      </w:r>
      <w:r w:rsidR="00B935C5">
        <w:rPr>
          <w:rFonts w:asciiTheme="majorHAnsi" w:hAnsiTheme="majorHAnsi"/>
        </w:rPr>
        <w:t xml:space="preserve"> </w:t>
      </w:r>
      <w:r w:rsidRPr="0041175A">
        <w:rPr>
          <w:rFonts w:asciiTheme="majorHAnsi" w:hAnsiTheme="majorHAnsi"/>
        </w:rPr>
        <w:t xml:space="preserve">to the threshold limit, as defined and provided hereinbefore, may do so without any pre-clearance from the Compliance Officer. In all other cases, they should pre-clear the transactions as per the pre-dealing procedure as provided hereinafter.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Designated Persons / their immediate relatives shall make an application in the prescribed Form I, to the Compliance Officer indicating the estimated number of securities that he/she intends to deal in, the details as to the </w:t>
      </w:r>
      <w:proofErr w:type="gramStart"/>
      <w:r w:rsidRPr="0041175A">
        <w:rPr>
          <w:rFonts w:asciiTheme="majorHAnsi" w:hAnsiTheme="majorHAnsi"/>
        </w:rPr>
        <w:t>depository(</w:t>
      </w:r>
      <w:proofErr w:type="spellStart"/>
      <w:proofErr w:type="gramEnd"/>
      <w:r w:rsidRPr="0041175A">
        <w:rPr>
          <w:rFonts w:asciiTheme="majorHAnsi" w:hAnsiTheme="majorHAnsi"/>
        </w:rPr>
        <w:t>ies</w:t>
      </w:r>
      <w:proofErr w:type="spellEnd"/>
      <w:r w:rsidRPr="0041175A">
        <w:rPr>
          <w:rFonts w:asciiTheme="majorHAnsi" w:hAnsiTheme="majorHAnsi"/>
        </w:rPr>
        <w:t xml:space="preserve">) with which he/she maintains a Demat/Trading account, the details as to the securities in such depository mode and such other details as may be required by the Compliance Officer in this matter.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He / She shall execute an undertaking in favour of the Company, incorporating, therein, </w:t>
      </w:r>
      <w:r w:rsidRPr="0041175A">
        <w:rPr>
          <w:rFonts w:asciiTheme="majorHAnsi" w:hAnsiTheme="majorHAnsi"/>
          <w:i/>
        </w:rPr>
        <w:t>inter alia,</w:t>
      </w:r>
      <w:r w:rsidRPr="0041175A">
        <w:rPr>
          <w:rFonts w:asciiTheme="majorHAnsi" w:hAnsiTheme="majorHAnsi"/>
        </w:rPr>
        <w:t xml:space="preserve"> the following clauses: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1"/>
        </w:numPr>
        <w:tabs>
          <w:tab w:val="left" w:pos="1260"/>
        </w:tabs>
        <w:spacing w:after="200" w:line="276" w:lineRule="auto"/>
        <w:ind w:left="1260" w:hanging="540"/>
        <w:jc w:val="both"/>
        <w:rPr>
          <w:rFonts w:asciiTheme="majorHAnsi" w:hAnsiTheme="majorHAnsi"/>
        </w:rPr>
      </w:pPr>
      <w:r w:rsidRPr="0041175A">
        <w:rPr>
          <w:rFonts w:asciiTheme="majorHAnsi" w:hAnsiTheme="majorHAnsi"/>
        </w:rPr>
        <w:t>that he/she does not have any access or has not received Unpublished Price Sensitive Information up</w:t>
      </w:r>
      <w:r w:rsidR="00B935C5">
        <w:rPr>
          <w:rFonts w:asciiTheme="majorHAnsi" w:hAnsiTheme="majorHAnsi"/>
        </w:rPr>
        <w:t xml:space="preserve"> </w:t>
      </w:r>
      <w:r w:rsidRPr="0041175A">
        <w:rPr>
          <w:rFonts w:asciiTheme="majorHAnsi" w:hAnsiTheme="majorHAnsi"/>
        </w:rPr>
        <w:t xml:space="preserve">to the time of signing the undertaking; </w:t>
      </w:r>
    </w:p>
    <w:p w:rsidR="00635E1E" w:rsidRPr="0041175A" w:rsidRDefault="00635E1E" w:rsidP="00635E1E">
      <w:pPr>
        <w:pStyle w:val="ListParagraph"/>
        <w:tabs>
          <w:tab w:val="left" w:pos="1260"/>
        </w:tabs>
        <w:ind w:left="1260"/>
        <w:rPr>
          <w:rFonts w:asciiTheme="majorHAnsi" w:hAnsiTheme="majorHAnsi"/>
        </w:rPr>
      </w:pPr>
    </w:p>
    <w:p w:rsidR="00635E1E" w:rsidRPr="0041175A" w:rsidRDefault="00635E1E" w:rsidP="00635E1E">
      <w:pPr>
        <w:pStyle w:val="ListParagraph"/>
        <w:numPr>
          <w:ilvl w:val="0"/>
          <w:numId w:val="21"/>
        </w:numPr>
        <w:tabs>
          <w:tab w:val="left" w:pos="1260"/>
        </w:tabs>
        <w:spacing w:after="200" w:line="276" w:lineRule="auto"/>
        <w:ind w:left="1260" w:hanging="540"/>
        <w:jc w:val="both"/>
        <w:rPr>
          <w:rFonts w:asciiTheme="majorHAnsi" w:hAnsiTheme="majorHAnsi"/>
        </w:rPr>
      </w:pPr>
      <w:r w:rsidRPr="0041175A">
        <w:rPr>
          <w:rFonts w:asciiTheme="majorHAnsi" w:hAnsiTheme="majorHAnsi"/>
        </w:rPr>
        <w:t>that in case he/she has access to or receives Unpublished Price Sensitive Information after the signing of the undertaking but before the execution of the transaction he/she shall inform the Compliance Officer of the change in his/her position and that he/she would completely refrain from dealing in the securities of the Company till the time such information becomes generally available;</w:t>
      </w:r>
    </w:p>
    <w:p w:rsidR="00635E1E" w:rsidRPr="0041175A" w:rsidRDefault="00635E1E" w:rsidP="00635E1E">
      <w:pPr>
        <w:pStyle w:val="ListParagraph"/>
        <w:tabs>
          <w:tab w:val="left" w:pos="1260"/>
        </w:tabs>
        <w:spacing w:after="200" w:line="276" w:lineRule="auto"/>
        <w:ind w:left="1260"/>
        <w:jc w:val="both"/>
        <w:rPr>
          <w:rFonts w:asciiTheme="majorHAnsi" w:hAnsiTheme="majorHAnsi"/>
        </w:rPr>
      </w:pPr>
    </w:p>
    <w:p w:rsidR="00635E1E" w:rsidRPr="0041175A" w:rsidRDefault="00635E1E" w:rsidP="00635E1E">
      <w:pPr>
        <w:pStyle w:val="ListParagraph"/>
        <w:numPr>
          <w:ilvl w:val="0"/>
          <w:numId w:val="21"/>
        </w:numPr>
        <w:tabs>
          <w:tab w:val="left" w:pos="1260"/>
        </w:tabs>
        <w:spacing w:after="200" w:line="276" w:lineRule="auto"/>
        <w:ind w:left="1260" w:hanging="540"/>
        <w:jc w:val="both"/>
        <w:rPr>
          <w:rFonts w:asciiTheme="majorHAnsi" w:hAnsiTheme="majorHAnsi"/>
        </w:rPr>
      </w:pPr>
      <w:r w:rsidRPr="0041175A">
        <w:rPr>
          <w:rFonts w:asciiTheme="majorHAnsi" w:hAnsiTheme="majorHAnsi"/>
        </w:rPr>
        <w:t xml:space="preserve">that he/she has not contravened any provisions of this Code and the Regulations; </w:t>
      </w:r>
    </w:p>
    <w:p w:rsidR="00635E1E" w:rsidRPr="0041175A" w:rsidRDefault="00635E1E" w:rsidP="00635E1E">
      <w:pPr>
        <w:pStyle w:val="ListParagraph"/>
        <w:tabs>
          <w:tab w:val="left" w:pos="1260"/>
        </w:tabs>
        <w:spacing w:after="200" w:line="276" w:lineRule="auto"/>
        <w:ind w:left="1260"/>
        <w:jc w:val="both"/>
        <w:rPr>
          <w:rFonts w:asciiTheme="majorHAnsi" w:hAnsiTheme="majorHAnsi"/>
        </w:rPr>
      </w:pPr>
    </w:p>
    <w:p w:rsidR="00635E1E" w:rsidRPr="0041175A" w:rsidRDefault="00635E1E" w:rsidP="00635E1E">
      <w:pPr>
        <w:pStyle w:val="ListParagraph"/>
        <w:numPr>
          <w:ilvl w:val="0"/>
          <w:numId w:val="21"/>
        </w:numPr>
        <w:tabs>
          <w:tab w:val="left" w:pos="1260"/>
        </w:tabs>
        <w:spacing w:after="200" w:line="276" w:lineRule="auto"/>
        <w:ind w:left="1260" w:hanging="540"/>
        <w:jc w:val="both"/>
        <w:rPr>
          <w:rFonts w:asciiTheme="majorHAnsi" w:hAnsiTheme="majorHAnsi"/>
        </w:rPr>
      </w:pPr>
      <w:proofErr w:type="gramStart"/>
      <w:r w:rsidRPr="0041175A">
        <w:rPr>
          <w:rFonts w:asciiTheme="majorHAnsi" w:hAnsiTheme="majorHAnsi"/>
        </w:rPr>
        <w:t>that</w:t>
      </w:r>
      <w:proofErr w:type="gramEnd"/>
      <w:r w:rsidRPr="0041175A">
        <w:rPr>
          <w:rFonts w:asciiTheme="majorHAnsi" w:hAnsiTheme="majorHAnsi"/>
        </w:rPr>
        <w:t xml:space="preserve"> he/she has made a full and true disclosure in the said matter.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lastRenderedPageBreak/>
        <w:t>The Compliance Officer shall confidentially maintain a list of such securities as a “restricted list” which shall be used as the basis for approving or rejecting applications for preclearance of trades.</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Designated Persons / their immediate relatives shall execute their transactions in respect of securities of the Company within seven (7) trading days after the approval of pre-clearance is given failing which the transaction has to be pre-cleared again. Reporting of trades executed or decisions not to trade and recording of such reasons shall be made/done in Form II. They shall not execute a contra trade during the six months following the prior transaction. In case of emergency the six months holding period may be waived by the Compliance Officer (application to be made in Form III) after recording in writing the reasons in this regard provided that such relaxation does not violate this Code/ Regulations.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In case of the Compliance Officer intending to deal in the securities of the Company beyond the threshold limit, the pre-clearance of the Managing Director or in his absence, the Chairman of the Board, will have to be obtained. Similarly in case of emergency Compliance Officer may obtain the waiver from the Managing Director or in his absence, the Chairman of the Board, provided that such relaxation does not violate this Code/ Regulations.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0"/>
        </w:numPr>
        <w:spacing w:after="200" w:line="276" w:lineRule="auto"/>
        <w:jc w:val="both"/>
        <w:rPr>
          <w:rFonts w:asciiTheme="majorHAnsi" w:hAnsiTheme="majorHAnsi"/>
        </w:rPr>
      </w:pPr>
      <w:r w:rsidRPr="0041175A">
        <w:rPr>
          <w:rFonts w:asciiTheme="majorHAnsi" w:hAnsiTheme="majorHAnsi"/>
        </w:rPr>
        <w:t xml:space="preserve">In case a contra trade is executed, inadvertently or otherwise, in violation of such a restriction, the profits from such trade shall be liable to be disgorged for remittance to the Board for credit to the Investor Protection and Education Fund administered by the Board under the Act. </w:t>
      </w:r>
    </w:p>
    <w:p w:rsidR="00635E1E" w:rsidRPr="0041175A" w:rsidRDefault="00635E1E" w:rsidP="00635E1E">
      <w:pPr>
        <w:rPr>
          <w:rFonts w:asciiTheme="majorHAnsi" w:hAnsiTheme="majorHAnsi"/>
          <w:b/>
        </w:rPr>
      </w:pPr>
      <w:r w:rsidRPr="0041175A">
        <w:rPr>
          <w:rFonts w:asciiTheme="majorHAnsi" w:hAnsiTheme="majorHAnsi"/>
          <w:b/>
        </w:rPr>
        <w:t xml:space="preserve">Reporting Requirements </w:t>
      </w:r>
    </w:p>
    <w:p w:rsidR="00635E1E" w:rsidRPr="0041175A" w:rsidRDefault="00635E1E" w:rsidP="00635E1E">
      <w:pPr>
        <w:pStyle w:val="ListParagraph"/>
        <w:spacing w:after="200"/>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Initial Disclosures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2"/>
        </w:numPr>
        <w:spacing w:after="200" w:line="276" w:lineRule="auto"/>
        <w:jc w:val="both"/>
        <w:rPr>
          <w:rFonts w:asciiTheme="majorHAnsi" w:hAnsiTheme="majorHAnsi"/>
        </w:rPr>
      </w:pPr>
      <w:r w:rsidRPr="0041175A">
        <w:rPr>
          <w:rFonts w:asciiTheme="majorHAnsi" w:hAnsiTheme="majorHAnsi"/>
        </w:rPr>
        <w:t xml:space="preserve">Every promoter, key managerial personnel and director of the Company shall disclose his holding of securities of the Company as on the date of this Code taking effect, to the Company within thirty days of this Code taking effect in Form A;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2"/>
        </w:numPr>
        <w:spacing w:after="200" w:line="276" w:lineRule="auto"/>
        <w:jc w:val="both"/>
        <w:rPr>
          <w:rFonts w:asciiTheme="majorHAnsi" w:hAnsiTheme="majorHAnsi"/>
        </w:rPr>
      </w:pPr>
      <w:r w:rsidRPr="0041175A">
        <w:rPr>
          <w:rFonts w:asciiTheme="majorHAnsi" w:hAnsiTheme="majorHAnsi"/>
        </w:rPr>
        <w:t xml:space="preserve">Every person on appointment as a Director or a Key Managerial Personnel of the Company or upon becoming a Promoter shall disclose his/her holding of securities of the Company as on the date of appointment or becoming a Promoter, to the Company within seven days of such appointment or becoming a promoter in Form B.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Continual Disclosures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3"/>
        </w:numPr>
        <w:spacing w:after="200" w:line="276" w:lineRule="auto"/>
        <w:jc w:val="both"/>
        <w:rPr>
          <w:rFonts w:asciiTheme="majorHAnsi" w:hAnsiTheme="majorHAnsi"/>
        </w:rPr>
      </w:pPr>
      <w:r w:rsidRPr="0041175A">
        <w:rPr>
          <w:rFonts w:asciiTheme="majorHAnsi" w:hAnsiTheme="majorHAnsi"/>
        </w:rPr>
        <w:t xml:space="preserve">The Promoters, Directors, Employees of the Company shall disclose to the Company in Form C unless any other Form is specified by the Board, stating the number of such securities acquired or disposed of within two trading days of such transaction, if the value of the securities traded, whether in one transaction or a series of transactions over any calendar quarter, exceeds the threshold limits as defined herein above;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3"/>
        </w:numPr>
        <w:spacing w:after="200" w:line="276" w:lineRule="auto"/>
        <w:jc w:val="both"/>
        <w:rPr>
          <w:rFonts w:asciiTheme="majorHAnsi" w:hAnsiTheme="majorHAnsi"/>
        </w:rPr>
      </w:pPr>
      <w:r w:rsidRPr="0041175A">
        <w:rPr>
          <w:rFonts w:asciiTheme="majorHAnsi" w:hAnsiTheme="majorHAnsi"/>
        </w:rPr>
        <w:t xml:space="preserve">The Company shall notify the particulars of such trading to the stock exchanges on which the securities are listed, as applicable, within two trading days of receipt of the disclosure or from becoming aware of such information.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3"/>
        </w:numPr>
        <w:spacing w:after="200" w:line="276" w:lineRule="auto"/>
        <w:jc w:val="both"/>
        <w:rPr>
          <w:rFonts w:asciiTheme="majorHAnsi" w:hAnsiTheme="majorHAnsi"/>
        </w:rPr>
      </w:pPr>
      <w:r w:rsidRPr="0041175A">
        <w:rPr>
          <w:rFonts w:asciiTheme="majorHAnsi" w:hAnsiTheme="majorHAnsi"/>
        </w:rPr>
        <w:t xml:space="preserve">The disclosure of the incremental transactions after any disclosure shall be made by persons as specified in (1) above, when the transactions effected after the prior disclosure crosses the threshold specified in this clause. </w:t>
      </w:r>
    </w:p>
    <w:p w:rsidR="00635E1E" w:rsidRPr="0041175A" w:rsidRDefault="00635E1E" w:rsidP="00635E1E">
      <w:pPr>
        <w:ind w:firstLine="360"/>
        <w:rPr>
          <w:rFonts w:asciiTheme="majorHAnsi" w:hAnsiTheme="majorHAnsi"/>
        </w:rPr>
      </w:pPr>
      <w:r w:rsidRPr="0041175A">
        <w:rPr>
          <w:rFonts w:asciiTheme="majorHAnsi" w:hAnsiTheme="majorHAnsi"/>
          <w:b/>
        </w:rPr>
        <w:t>Note:</w:t>
      </w:r>
      <w:r w:rsidRPr="0041175A">
        <w:rPr>
          <w:rFonts w:asciiTheme="majorHAnsi" w:hAnsiTheme="majorHAnsi"/>
        </w:rPr>
        <w:t xml:space="preserve"> </w:t>
      </w:r>
    </w:p>
    <w:p w:rsidR="00635E1E" w:rsidRPr="0041175A" w:rsidRDefault="00635E1E" w:rsidP="00635E1E">
      <w:pPr>
        <w:pStyle w:val="NoSpacing"/>
        <w:jc w:val="both"/>
        <w:rPr>
          <w:rFonts w:asciiTheme="majorHAnsi" w:hAnsiTheme="majorHAnsi"/>
          <w:i/>
          <w:sz w:val="20"/>
          <w:szCs w:val="20"/>
        </w:rPr>
      </w:pPr>
    </w:p>
    <w:p w:rsidR="00635E1E" w:rsidRPr="0041175A" w:rsidRDefault="00635E1E" w:rsidP="00635E1E">
      <w:pPr>
        <w:pStyle w:val="NoSpacing"/>
        <w:ind w:left="360"/>
        <w:jc w:val="both"/>
        <w:rPr>
          <w:rFonts w:asciiTheme="majorHAnsi" w:hAnsiTheme="majorHAnsi"/>
          <w:i/>
          <w:sz w:val="20"/>
          <w:szCs w:val="20"/>
        </w:rPr>
      </w:pPr>
      <w:r w:rsidRPr="0041175A">
        <w:rPr>
          <w:rFonts w:asciiTheme="majorHAnsi" w:hAnsiTheme="majorHAnsi"/>
          <w:i/>
          <w:sz w:val="20"/>
          <w:szCs w:val="20"/>
        </w:rPr>
        <w:t xml:space="preserve">1. Trading in securities shall also include trading in derivatives of securities and the traded value of the derivatives shall be taken into account for the purpose of making Initial/Continual disclosures as required in Clause 11 and 12 above. </w:t>
      </w:r>
    </w:p>
    <w:p w:rsidR="00635E1E" w:rsidRPr="0041175A" w:rsidRDefault="00635E1E" w:rsidP="00635E1E">
      <w:pPr>
        <w:pStyle w:val="NoSpacing"/>
        <w:jc w:val="both"/>
        <w:rPr>
          <w:rFonts w:asciiTheme="majorHAnsi" w:hAnsiTheme="majorHAnsi"/>
          <w:i/>
          <w:sz w:val="20"/>
          <w:szCs w:val="20"/>
        </w:rPr>
      </w:pPr>
    </w:p>
    <w:p w:rsidR="00635E1E" w:rsidRPr="0041175A" w:rsidRDefault="00635E1E" w:rsidP="00635E1E">
      <w:pPr>
        <w:pStyle w:val="NoSpacing"/>
        <w:ind w:left="360"/>
        <w:jc w:val="both"/>
        <w:rPr>
          <w:rFonts w:asciiTheme="majorHAnsi" w:hAnsiTheme="majorHAnsi"/>
          <w:i/>
          <w:sz w:val="20"/>
          <w:szCs w:val="20"/>
        </w:rPr>
      </w:pPr>
      <w:r w:rsidRPr="0041175A">
        <w:rPr>
          <w:rFonts w:asciiTheme="majorHAnsi" w:hAnsiTheme="majorHAnsi"/>
          <w:i/>
          <w:sz w:val="20"/>
          <w:szCs w:val="20"/>
        </w:rPr>
        <w:t xml:space="preserve">2. Disclosures made under Clause 11 and 12 above shall include those relating to trading by such person’s immediate relatives and by any other person for whom such person takes trading decisions. </w:t>
      </w:r>
    </w:p>
    <w:p w:rsidR="00635E1E" w:rsidRPr="0041175A" w:rsidRDefault="00635E1E" w:rsidP="00635E1E">
      <w:pPr>
        <w:pStyle w:val="NoSpacing"/>
        <w:rPr>
          <w:rFonts w:asciiTheme="majorHAnsi" w:hAnsiTheme="majorHAnsi"/>
          <w:sz w:val="20"/>
          <w:szCs w:val="20"/>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Quarterly / Annual Disclosures </w:t>
      </w:r>
    </w:p>
    <w:p w:rsidR="00635E1E" w:rsidRPr="0041175A" w:rsidRDefault="00635E1E" w:rsidP="00635E1E">
      <w:pPr>
        <w:ind w:left="720"/>
        <w:rPr>
          <w:rFonts w:asciiTheme="majorHAnsi" w:hAnsiTheme="majorHAnsi"/>
        </w:rPr>
      </w:pPr>
      <w:r w:rsidRPr="0041175A">
        <w:rPr>
          <w:rFonts w:asciiTheme="majorHAnsi" w:hAnsiTheme="majorHAnsi"/>
        </w:rPr>
        <w:t xml:space="preserve">Designated Persons shall furnish to the Compliance Officer the following: </w:t>
      </w:r>
    </w:p>
    <w:p w:rsidR="00635E1E" w:rsidRPr="0041175A" w:rsidRDefault="00635E1E" w:rsidP="00635E1E">
      <w:pPr>
        <w:pStyle w:val="ListParagraph"/>
        <w:numPr>
          <w:ilvl w:val="0"/>
          <w:numId w:val="23"/>
        </w:numPr>
        <w:spacing w:after="200" w:line="276" w:lineRule="auto"/>
        <w:jc w:val="both"/>
        <w:rPr>
          <w:rFonts w:asciiTheme="majorHAnsi" w:hAnsiTheme="majorHAnsi"/>
        </w:rPr>
      </w:pPr>
      <w:r w:rsidRPr="0041175A">
        <w:rPr>
          <w:rFonts w:asciiTheme="majorHAnsi" w:hAnsiTheme="majorHAnsi"/>
        </w:rPr>
        <w:t xml:space="preserve">Quarterly statement of transactions in securities of the Company in Form IV annexed hereto to be submitted within 30 days of the close of each quarter. If there is no transaction in a particular quarter, nil statement need not be submitted.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3"/>
        </w:numPr>
        <w:spacing w:after="200" w:line="276" w:lineRule="auto"/>
        <w:jc w:val="both"/>
        <w:rPr>
          <w:rFonts w:asciiTheme="majorHAnsi" w:hAnsiTheme="majorHAnsi"/>
        </w:rPr>
      </w:pPr>
      <w:r w:rsidRPr="0041175A">
        <w:rPr>
          <w:rFonts w:asciiTheme="majorHAnsi" w:hAnsiTheme="majorHAnsi"/>
        </w:rPr>
        <w:t xml:space="preserve">Annual statement of all their holdings in securities of the Company to be submitted within 30 days of the close of each Financial Year in Form V annexed hereto.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Preservation of disclosures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ind w:left="810" w:hanging="90"/>
        <w:rPr>
          <w:rFonts w:asciiTheme="majorHAnsi" w:hAnsiTheme="majorHAnsi"/>
        </w:rPr>
      </w:pPr>
      <w:r w:rsidRPr="0041175A">
        <w:rPr>
          <w:rFonts w:asciiTheme="majorHAnsi" w:hAnsiTheme="majorHAnsi"/>
        </w:rPr>
        <w:t xml:space="preserve"> The disclosures made under these regulations shall be maintained by the Compliance Officer, for   a minimum period of five years.</w:t>
      </w:r>
    </w:p>
    <w:p w:rsidR="00635E1E" w:rsidRPr="0041175A" w:rsidRDefault="00635E1E" w:rsidP="00635E1E">
      <w:pPr>
        <w:pStyle w:val="ListParagraph"/>
        <w:rPr>
          <w:rFonts w:asciiTheme="majorHAnsi" w:hAnsiTheme="majorHAnsi"/>
          <w:b/>
        </w:rPr>
      </w:pPr>
      <w:r w:rsidRPr="0041175A">
        <w:rPr>
          <w:rFonts w:asciiTheme="majorHAnsi" w:hAnsiTheme="majorHAnsi"/>
          <w:b/>
        </w:rPr>
        <w:t xml:space="preserve"> </w:t>
      </w: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Penalty for non-compliance of this Code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4"/>
        </w:numPr>
        <w:spacing w:after="200" w:line="276" w:lineRule="auto"/>
        <w:jc w:val="both"/>
        <w:rPr>
          <w:rFonts w:asciiTheme="majorHAnsi" w:hAnsiTheme="majorHAnsi"/>
        </w:rPr>
      </w:pPr>
      <w:r w:rsidRPr="0041175A">
        <w:rPr>
          <w:rFonts w:asciiTheme="majorHAnsi" w:hAnsiTheme="majorHAnsi"/>
        </w:rPr>
        <w:t xml:space="preserve">Any Promoter, Director, Employee or other connected person, who trades in securities or communicates any information for trading in securities in contravention of this Code, shall be penalized and appropriate action shall be taken against them by the Company after giving reasonable opportunity to them to show-cause. He/ she shall also be subject to disciplinary action, as deemed appropriate by the Board of Directors which may include wage freeze, suspension, </w:t>
      </w:r>
      <w:proofErr w:type="gramStart"/>
      <w:r w:rsidRPr="0041175A">
        <w:rPr>
          <w:rFonts w:asciiTheme="majorHAnsi" w:hAnsiTheme="majorHAnsi"/>
        </w:rPr>
        <w:t>in</w:t>
      </w:r>
      <w:proofErr w:type="gramEnd"/>
      <w:r w:rsidRPr="0041175A">
        <w:rPr>
          <w:rFonts w:asciiTheme="majorHAnsi" w:hAnsiTheme="majorHAnsi"/>
        </w:rPr>
        <w:t xml:space="preserve">-eligibility for future participation in ESOPs etc.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4"/>
        </w:numPr>
        <w:spacing w:after="200" w:line="276" w:lineRule="auto"/>
        <w:jc w:val="both"/>
        <w:rPr>
          <w:rFonts w:asciiTheme="majorHAnsi" w:hAnsiTheme="majorHAnsi"/>
        </w:rPr>
      </w:pPr>
      <w:r w:rsidRPr="0041175A">
        <w:rPr>
          <w:rFonts w:asciiTheme="majorHAnsi" w:hAnsiTheme="majorHAnsi"/>
        </w:rPr>
        <w:t xml:space="preserve">In addition to the action which may be taken by the Company, the persons violating the Regulations or this Code shall also be subject to action under SEBI Act. In case of any violation, the Board of Directors shall inform the Board accordingly. </w:t>
      </w:r>
    </w:p>
    <w:p w:rsidR="00635E1E" w:rsidRPr="0041175A" w:rsidRDefault="00635E1E" w:rsidP="00635E1E">
      <w:pPr>
        <w:pStyle w:val="ListParagraph"/>
        <w:rPr>
          <w:rFonts w:asciiTheme="majorHAnsi" w:hAnsiTheme="majorHAnsi"/>
          <w:b/>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General </w:t>
      </w:r>
    </w:p>
    <w:p w:rsidR="00635E1E" w:rsidRPr="0041175A" w:rsidRDefault="00635E1E" w:rsidP="00635E1E">
      <w:pPr>
        <w:ind w:left="720"/>
        <w:rPr>
          <w:rFonts w:asciiTheme="majorHAnsi" w:hAnsiTheme="majorHAnsi"/>
        </w:rPr>
      </w:pPr>
      <w:r w:rsidRPr="0041175A">
        <w:rPr>
          <w:rFonts w:asciiTheme="majorHAnsi" w:hAnsiTheme="majorHAnsi"/>
        </w:rPr>
        <w:t xml:space="preserve">The decision of the Board of Directors with regard to any or all matters relating to this Code shall be final and binding on all concerned. The Board of Directors shall have the power to modify, amend or replace this Code in part or full, as may be thought fit from time to time in their absolute discretion. </w:t>
      </w:r>
    </w:p>
    <w:p w:rsidR="00635E1E" w:rsidRPr="0041175A" w:rsidRDefault="00635E1E" w:rsidP="00635E1E">
      <w:pPr>
        <w:ind w:left="720"/>
        <w:rPr>
          <w:rFonts w:asciiTheme="majorHAnsi" w:hAnsiTheme="majorHAnsi"/>
        </w:rPr>
      </w:pPr>
    </w:p>
    <w:p w:rsidR="00635E1E" w:rsidRPr="0041175A" w:rsidRDefault="00635E1E" w:rsidP="00635E1E">
      <w:pPr>
        <w:ind w:left="720"/>
        <w:rPr>
          <w:rFonts w:asciiTheme="majorHAnsi" w:hAnsiTheme="majorHAnsi"/>
        </w:rPr>
      </w:pPr>
    </w:p>
    <w:p w:rsidR="00635E1E" w:rsidRPr="0041175A" w:rsidRDefault="00635E1E" w:rsidP="00635E1E">
      <w:pPr>
        <w:pStyle w:val="ListParagraph"/>
        <w:numPr>
          <w:ilvl w:val="0"/>
          <w:numId w:val="2"/>
        </w:numPr>
        <w:spacing w:after="200" w:line="276" w:lineRule="auto"/>
        <w:jc w:val="both"/>
        <w:rPr>
          <w:rFonts w:asciiTheme="majorHAnsi" w:hAnsiTheme="majorHAnsi"/>
          <w:b/>
        </w:rPr>
      </w:pPr>
      <w:r w:rsidRPr="0041175A">
        <w:rPr>
          <w:rFonts w:asciiTheme="majorHAnsi" w:hAnsiTheme="majorHAnsi"/>
          <w:b/>
        </w:rPr>
        <w:t xml:space="preserve"> Forms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5"/>
        </w:numPr>
        <w:spacing w:after="200" w:line="276" w:lineRule="auto"/>
        <w:jc w:val="both"/>
        <w:rPr>
          <w:rFonts w:asciiTheme="majorHAnsi" w:hAnsiTheme="majorHAnsi"/>
          <w:b/>
        </w:rPr>
      </w:pPr>
      <w:r w:rsidRPr="0041175A">
        <w:rPr>
          <w:rFonts w:asciiTheme="majorHAnsi" w:hAnsiTheme="majorHAnsi"/>
          <w:b/>
        </w:rPr>
        <w:t xml:space="preserve">Disclosure Forms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Form A : Form for Initial Disclosures under clause 11(1)</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B : Form for Initial Disclosures under clause 11(2) </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C : Form for Continual Disclosures under clause 12(1)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5"/>
        </w:numPr>
        <w:spacing w:after="200" w:line="276" w:lineRule="auto"/>
        <w:jc w:val="both"/>
        <w:rPr>
          <w:rFonts w:asciiTheme="majorHAnsi" w:hAnsiTheme="majorHAnsi"/>
          <w:b/>
        </w:rPr>
      </w:pPr>
      <w:r w:rsidRPr="0041175A">
        <w:rPr>
          <w:rFonts w:asciiTheme="majorHAnsi" w:hAnsiTheme="majorHAnsi"/>
          <w:b/>
        </w:rPr>
        <w:t xml:space="preserve">Internal Forms </w:t>
      </w:r>
    </w:p>
    <w:p w:rsidR="00635E1E" w:rsidRPr="0041175A" w:rsidRDefault="00635E1E" w:rsidP="00635E1E">
      <w:pPr>
        <w:pStyle w:val="ListParagraph"/>
        <w:rPr>
          <w:rFonts w:asciiTheme="majorHAnsi" w:hAnsiTheme="majorHAnsi"/>
        </w:rPr>
      </w:pP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lastRenderedPageBreak/>
        <w:t xml:space="preserve">Form I :Application for Pre-Clearance and undertaking </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II :Reporting of trades executed/decisions not to trade and recording of such reasons </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III :Application for waiver of minimum holding period </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IV :Form for Quarterly Statement </w:t>
      </w:r>
    </w:p>
    <w:p w:rsidR="00635E1E" w:rsidRPr="0041175A" w:rsidRDefault="00635E1E" w:rsidP="00635E1E">
      <w:pPr>
        <w:pStyle w:val="ListParagraph"/>
        <w:numPr>
          <w:ilvl w:val="0"/>
          <w:numId w:val="26"/>
        </w:numPr>
        <w:spacing w:after="200" w:line="276" w:lineRule="auto"/>
        <w:rPr>
          <w:rFonts w:asciiTheme="majorHAnsi" w:hAnsiTheme="majorHAnsi"/>
        </w:rPr>
      </w:pPr>
      <w:r w:rsidRPr="0041175A">
        <w:rPr>
          <w:rFonts w:asciiTheme="majorHAnsi" w:hAnsiTheme="majorHAnsi"/>
        </w:rPr>
        <w:t xml:space="preserve">Form V :Form for Annual Statement </w:t>
      </w:r>
    </w:p>
    <w:p w:rsidR="00635E1E" w:rsidRPr="0041175A" w:rsidRDefault="00635E1E" w:rsidP="00635E1E">
      <w:pPr>
        <w:rPr>
          <w:rFonts w:asciiTheme="majorHAnsi" w:hAnsiTheme="majorHAnsi"/>
        </w:rPr>
      </w:pPr>
    </w:p>
    <w:p w:rsidR="00635E1E" w:rsidRPr="0041175A" w:rsidRDefault="00635E1E" w:rsidP="00635E1E">
      <w:pPr>
        <w:rPr>
          <w:rFonts w:asciiTheme="majorHAnsi" w:hAnsiTheme="majorHAnsi"/>
        </w:rPr>
      </w:pPr>
      <w:r w:rsidRPr="0041175A">
        <w:rPr>
          <w:rFonts w:asciiTheme="majorHAnsi" w:hAnsiTheme="majorHAnsi"/>
        </w:rPr>
        <w:br w:type="page"/>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lastRenderedPageBreak/>
        <w:t>FORM A</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Securities and Exchange Board of India (Prohibition of Insider Trading) Regulations, 2015</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 xml:space="preserve">[Regulation 7 (1) (a) read with Regulation 6 (2) and clause 11(1) of </w:t>
      </w:r>
      <w:r w:rsidR="00FF32EF" w:rsidRPr="00FF32EF">
        <w:rPr>
          <w:rFonts w:asciiTheme="majorHAnsi" w:hAnsiTheme="majorHAnsi" w:cs="TT1A9t00"/>
          <w:b/>
          <w:sz w:val="16"/>
          <w:szCs w:val="16"/>
        </w:rPr>
        <w:t>Machino Plastics Limited</w:t>
      </w:r>
      <w:r w:rsidRPr="0041175A">
        <w:rPr>
          <w:rFonts w:asciiTheme="majorHAnsi" w:hAnsiTheme="majorHAnsi" w:cs="TT1A9t00"/>
          <w:b/>
          <w:sz w:val="16"/>
          <w:szCs w:val="16"/>
        </w:rPr>
        <w:t>:</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Code of Conduct to Regulate, Monitor and Report Trading by Insiders]</w:t>
      </w:r>
    </w:p>
    <w:p w:rsidR="00635E1E" w:rsidRPr="0041175A" w:rsidRDefault="00635E1E" w:rsidP="00635E1E">
      <w:pPr>
        <w:autoSpaceDE w:val="0"/>
        <w:autoSpaceDN w:val="0"/>
        <w:adjustRightInd w:val="0"/>
        <w:jc w:val="center"/>
        <w:rPr>
          <w:rFonts w:asciiTheme="majorHAnsi" w:hAnsiTheme="majorHAnsi" w:cs="TT1A7t00"/>
          <w:b/>
          <w:sz w:val="16"/>
          <w:szCs w:val="16"/>
        </w:rPr>
      </w:pPr>
    </w:p>
    <w:p w:rsidR="00635E1E" w:rsidRPr="0041175A" w:rsidRDefault="00635E1E" w:rsidP="00635E1E">
      <w:pPr>
        <w:autoSpaceDE w:val="0"/>
        <w:autoSpaceDN w:val="0"/>
        <w:adjustRightInd w:val="0"/>
        <w:rPr>
          <w:rFonts w:asciiTheme="majorHAnsi" w:hAnsiTheme="majorHAnsi" w:cs="TT1A7t00"/>
          <w:b/>
          <w:sz w:val="16"/>
          <w:szCs w:val="16"/>
        </w:rPr>
      </w:pPr>
      <w:r w:rsidRPr="0041175A">
        <w:rPr>
          <w:rFonts w:asciiTheme="majorHAnsi" w:hAnsiTheme="majorHAnsi" w:cs="TT1A7t00"/>
          <w:b/>
          <w:sz w:val="16"/>
          <w:szCs w:val="16"/>
        </w:rPr>
        <w:t xml:space="preserve">Name of the Company: </w:t>
      </w:r>
    </w:p>
    <w:p w:rsidR="00635E1E" w:rsidRPr="0041175A" w:rsidRDefault="00635E1E" w:rsidP="00635E1E">
      <w:pPr>
        <w:autoSpaceDE w:val="0"/>
        <w:autoSpaceDN w:val="0"/>
        <w:adjustRightInd w:val="0"/>
        <w:rPr>
          <w:rFonts w:asciiTheme="majorHAnsi" w:hAnsiTheme="majorHAnsi" w:cs="TT1A7t00"/>
          <w:sz w:val="16"/>
          <w:szCs w:val="16"/>
        </w:rPr>
      </w:pPr>
      <w:r w:rsidRPr="0041175A">
        <w:rPr>
          <w:rFonts w:asciiTheme="majorHAnsi" w:hAnsiTheme="majorHAnsi" w:cs="TT1A7t00"/>
          <w:b/>
          <w:sz w:val="16"/>
          <w:szCs w:val="16"/>
        </w:rPr>
        <w:t xml:space="preserve">ISIN of the Company: </w:t>
      </w:r>
    </w:p>
    <w:p w:rsidR="00635E1E" w:rsidRPr="0041175A" w:rsidRDefault="00635E1E" w:rsidP="00635E1E">
      <w:pPr>
        <w:autoSpaceDE w:val="0"/>
        <w:autoSpaceDN w:val="0"/>
        <w:adjustRightInd w:val="0"/>
        <w:rPr>
          <w:rFonts w:asciiTheme="majorHAnsi" w:hAnsiTheme="majorHAnsi" w:cs="TT159t00"/>
          <w:b/>
          <w:sz w:val="16"/>
          <w:szCs w:val="16"/>
        </w:rPr>
      </w:pPr>
    </w:p>
    <w:p w:rsidR="00635E1E" w:rsidRPr="0041175A" w:rsidRDefault="00635E1E" w:rsidP="00635E1E">
      <w:pPr>
        <w:autoSpaceDE w:val="0"/>
        <w:autoSpaceDN w:val="0"/>
        <w:adjustRightInd w:val="0"/>
        <w:rPr>
          <w:rFonts w:asciiTheme="majorHAnsi" w:hAnsiTheme="majorHAnsi" w:cs="TT1A9t00"/>
          <w:b/>
          <w:sz w:val="16"/>
          <w:szCs w:val="16"/>
        </w:rPr>
      </w:pPr>
      <w:r w:rsidRPr="0041175A">
        <w:rPr>
          <w:rFonts w:asciiTheme="majorHAnsi" w:hAnsiTheme="majorHAnsi" w:cs="TT1A9t00"/>
          <w:b/>
          <w:sz w:val="16"/>
          <w:szCs w:val="16"/>
        </w:rPr>
        <w:t>Details of Securities held by Promoter, Key Managerial Personnel (KMP), Director or other such persons as mentioned in Regulation 6(2)</w:t>
      </w:r>
    </w:p>
    <w:tbl>
      <w:tblPr>
        <w:tblpPr w:leftFromText="180" w:rightFromText="180" w:vertAnchor="text" w:horzAnchor="margin" w:tblpXSpec="center" w:tblpY="3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1260"/>
        <w:gridCol w:w="540"/>
        <w:gridCol w:w="894"/>
        <w:gridCol w:w="1176"/>
        <w:gridCol w:w="1120"/>
        <w:gridCol w:w="1310"/>
        <w:gridCol w:w="1260"/>
      </w:tblGrid>
      <w:tr w:rsidR="00635E1E" w:rsidRPr="0041175A" w:rsidTr="002E6687">
        <w:trPr>
          <w:trHeight w:val="1659"/>
        </w:trPr>
        <w:tc>
          <w:tcPr>
            <w:tcW w:w="1098"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Name, PAN No., CIN/DIN &amp; address with</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Contact nos.</w:t>
            </w:r>
          </w:p>
        </w:tc>
        <w:tc>
          <w:tcPr>
            <w:tcW w:w="126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Category of Person (Promoters /KMP/Directors/immediate relatives/others</w:t>
            </w:r>
          </w:p>
          <w:p w:rsidR="00635E1E" w:rsidRPr="0041175A" w:rsidRDefault="00635E1E" w:rsidP="002E6687">
            <w:pPr>
              <w:jc w:val="center"/>
              <w:rPr>
                <w:rFonts w:asciiTheme="majorHAnsi" w:hAnsiTheme="majorHAnsi"/>
                <w:sz w:val="16"/>
                <w:szCs w:val="16"/>
              </w:rPr>
            </w:pPr>
            <w:proofErr w:type="spellStart"/>
            <w:r w:rsidRPr="0041175A">
              <w:rPr>
                <w:rFonts w:asciiTheme="majorHAnsi" w:hAnsiTheme="majorHAnsi"/>
                <w:sz w:val="16"/>
                <w:szCs w:val="16"/>
              </w:rPr>
              <w:t>etc</w:t>
            </w:r>
            <w:proofErr w:type="spellEnd"/>
            <w:r w:rsidRPr="0041175A">
              <w:rPr>
                <w:rFonts w:asciiTheme="majorHAnsi" w:hAnsiTheme="majorHAnsi"/>
                <w:sz w:val="16"/>
                <w:szCs w:val="16"/>
              </w:rPr>
              <w:t>)</w:t>
            </w:r>
          </w:p>
        </w:tc>
        <w:tc>
          <w:tcPr>
            <w:tcW w:w="1800" w:type="dxa"/>
            <w:gridSpan w:val="2"/>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Securities held as on the date of regulation coming</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into force</w:t>
            </w:r>
          </w:p>
        </w:tc>
        <w:tc>
          <w:tcPr>
            <w:tcW w:w="894"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 of</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Shareholding</w:t>
            </w:r>
          </w:p>
        </w:tc>
        <w:tc>
          <w:tcPr>
            <w:tcW w:w="2296" w:type="dxa"/>
            <w:gridSpan w:val="2"/>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Open Interest of the Future contracts held as on the date of regulation coming into force</w:t>
            </w:r>
          </w:p>
        </w:tc>
        <w:tc>
          <w:tcPr>
            <w:tcW w:w="2570" w:type="dxa"/>
            <w:gridSpan w:val="2"/>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Open Interest of the Option</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Contracts held as on the date of regulation coming into force</w:t>
            </w:r>
          </w:p>
        </w:tc>
      </w:tr>
      <w:tr w:rsidR="00635E1E" w:rsidRPr="0041175A" w:rsidTr="002E6687">
        <w:trPr>
          <w:trHeight w:val="1631"/>
        </w:trPr>
        <w:tc>
          <w:tcPr>
            <w:tcW w:w="1098" w:type="dxa"/>
            <w:shd w:val="clear" w:color="auto" w:fill="auto"/>
          </w:tcPr>
          <w:p w:rsidR="00635E1E" w:rsidRPr="0041175A" w:rsidRDefault="00635E1E" w:rsidP="002E6687">
            <w:pPr>
              <w:jc w:val="center"/>
              <w:rPr>
                <w:rFonts w:asciiTheme="majorHAnsi" w:hAnsiTheme="majorHAnsi"/>
                <w:sz w:val="16"/>
                <w:szCs w:val="16"/>
              </w:rPr>
            </w:pPr>
          </w:p>
        </w:tc>
        <w:tc>
          <w:tcPr>
            <w:tcW w:w="1260" w:type="dxa"/>
            <w:shd w:val="clear" w:color="auto" w:fill="auto"/>
          </w:tcPr>
          <w:p w:rsidR="00635E1E" w:rsidRPr="0041175A" w:rsidRDefault="00635E1E" w:rsidP="002E6687">
            <w:pPr>
              <w:jc w:val="center"/>
              <w:rPr>
                <w:rFonts w:asciiTheme="majorHAnsi" w:hAnsiTheme="majorHAnsi"/>
                <w:sz w:val="16"/>
                <w:szCs w:val="16"/>
              </w:rPr>
            </w:pPr>
          </w:p>
        </w:tc>
        <w:tc>
          <w:tcPr>
            <w:tcW w:w="126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Type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security (For</w:t>
            </w:r>
          </w:p>
          <w:p w:rsidR="00635E1E" w:rsidRPr="0041175A" w:rsidRDefault="00635E1E" w:rsidP="002E6687">
            <w:pPr>
              <w:autoSpaceDE w:val="0"/>
              <w:autoSpaceDN w:val="0"/>
              <w:adjustRightInd w:val="0"/>
              <w:jc w:val="center"/>
              <w:rPr>
                <w:rFonts w:asciiTheme="majorHAnsi" w:hAnsiTheme="majorHAnsi"/>
                <w:sz w:val="16"/>
                <w:szCs w:val="16"/>
              </w:rPr>
            </w:pPr>
            <w:proofErr w:type="spellStart"/>
            <w:proofErr w:type="gramStart"/>
            <w:r w:rsidRPr="0041175A">
              <w:rPr>
                <w:rFonts w:asciiTheme="majorHAnsi" w:hAnsiTheme="majorHAnsi"/>
                <w:sz w:val="16"/>
                <w:szCs w:val="16"/>
              </w:rPr>
              <w:t>eg</w:t>
            </w:r>
            <w:proofErr w:type="spellEnd"/>
            <w:proofErr w:type="gramEnd"/>
            <w:r w:rsidRPr="0041175A">
              <w:rPr>
                <w:rFonts w:asciiTheme="majorHAnsi" w:hAnsiTheme="majorHAnsi"/>
                <w:sz w:val="16"/>
                <w:szCs w:val="16"/>
              </w:rPr>
              <w:t>. – Shares,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Warrants,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Convertible</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Debentures</w:t>
            </w:r>
          </w:p>
          <w:p w:rsidR="00635E1E" w:rsidRPr="0041175A" w:rsidRDefault="00635E1E" w:rsidP="002E6687">
            <w:pPr>
              <w:jc w:val="center"/>
              <w:rPr>
                <w:rFonts w:asciiTheme="majorHAnsi" w:hAnsiTheme="majorHAnsi"/>
                <w:sz w:val="16"/>
                <w:szCs w:val="16"/>
              </w:rPr>
            </w:pPr>
            <w:proofErr w:type="gramStart"/>
            <w:r w:rsidRPr="0041175A">
              <w:rPr>
                <w:rFonts w:asciiTheme="majorHAnsi" w:hAnsiTheme="majorHAnsi"/>
                <w:sz w:val="16"/>
                <w:szCs w:val="16"/>
              </w:rPr>
              <w:t>etc</w:t>
            </w:r>
            <w:proofErr w:type="gramEnd"/>
            <w:r w:rsidRPr="0041175A">
              <w:rPr>
                <w:rFonts w:asciiTheme="majorHAnsi" w:hAnsiTheme="majorHAnsi"/>
                <w:sz w:val="16"/>
                <w:szCs w:val="16"/>
              </w:rPr>
              <w:t>.)</w:t>
            </w:r>
          </w:p>
        </w:tc>
        <w:tc>
          <w:tcPr>
            <w:tcW w:w="540" w:type="dxa"/>
            <w:shd w:val="clear" w:color="auto" w:fill="auto"/>
          </w:tcPr>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No.</w:t>
            </w:r>
          </w:p>
        </w:tc>
        <w:tc>
          <w:tcPr>
            <w:tcW w:w="894" w:type="dxa"/>
            <w:shd w:val="clear" w:color="auto" w:fill="auto"/>
          </w:tcPr>
          <w:p w:rsidR="00635E1E" w:rsidRPr="0041175A" w:rsidRDefault="00635E1E" w:rsidP="002E6687">
            <w:pPr>
              <w:jc w:val="center"/>
              <w:rPr>
                <w:rFonts w:asciiTheme="majorHAnsi" w:hAnsiTheme="majorHAnsi"/>
                <w:sz w:val="16"/>
                <w:szCs w:val="16"/>
              </w:rPr>
            </w:pPr>
          </w:p>
        </w:tc>
        <w:tc>
          <w:tcPr>
            <w:tcW w:w="1176"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Number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units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(contracts *</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lot size)</w:t>
            </w:r>
          </w:p>
        </w:tc>
        <w:tc>
          <w:tcPr>
            <w:tcW w:w="112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Notional value in</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Rupee terms</w:t>
            </w:r>
          </w:p>
        </w:tc>
        <w:tc>
          <w:tcPr>
            <w:tcW w:w="131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Number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units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(contracts * lot</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size)</w:t>
            </w:r>
          </w:p>
        </w:tc>
        <w:tc>
          <w:tcPr>
            <w:tcW w:w="126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Notional value in Rupee terms</w:t>
            </w:r>
          </w:p>
        </w:tc>
      </w:tr>
      <w:tr w:rsidR="00635E1E" w:rsidRPr="0041175A" w:rsidTr="002E6687">
        <w:trPr>
          <w:trHeight w:val="278"/>
        </w:trPr>
        <w:tc>
          <w:tcPr>
            <w:tcW w:w="1098" w:type="dxa"/>
            <w:shd w:val="clear" w:color="auto" w:fill="auto"/>
          </w:tcPr>
          <w:p w:rsidR="00635E1E" w:rsidRPr="0041175A" w:rsidRDefault="00635E1E" w:rsidP="002E6687">
            <w:pPr>
              <w:jc w:val="both"/>
              <w:rPr>
                <w:rFonts w:asciiTheme="majorHAnsi" w:hAnsiTheme="majorHAnsi"/>
                <w:sz w:val="16"/>
                <w:szCs w:val="16"/>
              </w:rPr>
            </w:pPr>
          </w:p>
        </w:tc>
        <w:tc>
          <w:tcPr>
            <w:tcW w:w="1260" w:type="dxa"/>
            <w:shd w:val="clear" w:color="auto" w:fill="auto"/>
          </w:tcPr>
          <w:p w:rsidR="00635E1E" w:rsidRPr="0041175A" w:rsidRDefault="00635E1E" w:rsidP="002E6687">
            <w:pPr>
              <w:jc w:val="both"/>
              <w:rPr>
                <w:rFonts w:asciiTheme="majorHAnsi" w:hAnsiTheme="majorHAnsi"/>
                <w:sz w:val="16"/>
                <w:szCs w:val="16"/>
              </w:rPr>
            </w:pPr>
          </w:p>
        </w:tc>
        <w:tc>
          <w:tcPr>
            <w:tcW w:w="1260" w:type="dxa"/>
            <w:shd w:val="clear" w:color="auto" w:fill="auto"/>
          </w:tcPr>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p w:rsidR="00635E1E" w:rsidRPr="0041175A" w:rsidRDefault="00635E1E" w:rsidP="002E6687">
            <w:pPr>
              <w:jc w:val="both"/>
              <w:rPr>
                <w:rFonts w:asciiTheme="majorHAnsi" w:hAnsiTheme="majorHAnsi"/>
                <w:sz w:val="16"/>
                <w:szCs w:val="16"/>
              </w:rPr>
            </w:pPr>
          </w:p>
        </w:tc>
        <w:tc>
          <w:tcPr>
            <w:tcW w:w="540" w:type="dxa"/>
            <w:shd w:val="clear" w:color="auto" w:fill="auto"/>
          </w:tcPr>
          <w:p w:rsidR="00635E1E" w:rsidRPr="0041175A" w:rsidRDefault="00635E1E" w:rsidP="002E6687">
            <w:pPr>
              <w:jc w:val="both"/>
              <w:rPr>
                <w:rFonts w:asciiTheme="majorHAnsi" w:hAnsiTheme="majorHAnsi"/>
                <w:sz w:val="16"/>
                <w:szCs w:val="16"/>
              </w:rPr>
            </w:pPr>
          </w:p>
        </w:tc>
        <w:tc>
          <w:tcPr>
            <w:tcW w:w="894" w:type="dxa"/>
            <w:shd w:val="clear" w:color="auto" w:fill="auto"/>
          </w:tcPr>
          <w:p w:rsidR="00635E1E" w:rsidRPr="0041175A" w:rsidRDefault="00635E1E" w:rsidP="002E6687">
            <w:pPr>
              <w:jc w:val="both"/>
              <w:rPr>
                <w:rFonts w:asciiTheme="majorHAnsi" w:hAnsiTheme="majorHAnsi"/>
                <w:sz w:val="16"/>
                <w:szCs w:val="16"/>
              </w:rPr>
            </w:pPr>
          </w:p>
        </w:tc>
        <w:tc>
          <w:tcPr>
            <w:tcW w:w="1176" w:type="dxa"/>
            <w:shd w:val="clear" w:color="auto" w:fill="auto"/>
          </w:tcPr>
          <w:p w:rsidR="00635E1E" w:rsidRPr="0041175A" w:rsidRDefault="00635E1E" w:rsidP="002E6687">
            <w:pPr>
              <w:jc w:val="both"/>
              <w:rPr>
                <w:rFonts w:asciiTheme="majorHAnsi" w:hAnsiTheme="majorHAnsi"/>
                <w:sz w:val="16"/>
                <w:szCs w:val="16"/>
              </w:rPr>
            </w:pPr>
          </w:p>
        </w:tc>
        <w:tc>
          <w:tcPr>
            <w:tcW w:w="1120" w:type="dxa"/>
            <w:shd w:val="clear" w:color="auto" w:fill="auto"/>
          </w:tcPr>
          <w:p w:rsidR="00635E1E" w:rsidRPr="0041175A" w:rsidRDefault="00635E1E" w:rsidP="002E6687">
            <w:pPr>
              <w:jc w:val="both"/>
              <w:rPr>
                <w:rFonts w:asciiTheme="majorHAnsi" w:hAnsiTheme="majorHAnsi"/>
                <w:sz w:val="16"/>
                <w:szCs w:val="16"/>
              </w:rPr>
            </w:pPr>
          </w:p>
        </w:tc>
        <w:tc>
          <w:tcPr>
            <w:tcW w:w="1310" w:type="dxa"/>
            <w:shd w:val="clear" w:color="auto" w:fill="auto"/>
          </w:tcPr>
          <w:p w:rsidR="00635E1E" w:rsidRPr="0041175A" w:rsidRDefault="00635E1E" w:rsidP="002E6687">
            <w:pPr>
              <w:jc w:val="both"/>
              <w:rPr>
                <w:rFonts w:asciiTheme="majorHAnsi" w:hAnsiTheme="majorHAnsi"/>
                <w:sz w:val="16"/>
                <w:szCs w:val="16"/>
              </w:rPr>
            </w:pPr>
          </w:p>
        </w:tc>
        <w:tc>
          <w:tcPr>
            <w:tcW w:w="1260" w:type="dxa"/>
            <w:shd w:val="clear" w:color="auto" w:fill="auto"/>
          </w:tcPr>
          <w:p w:rsidR="00635E1E" w:rsidRPr="0041175A" w:rsidRDefault="00635E1E" w:rsidP="002E6687">
            <w:pPr>
              <w:jc w:val="both"/>
              <w:rPr>
                <w:rFonts w:asciiTheme="majorHAnsi" w:hAnsiTheme="majorHAnsi"/>
                <w:sz w:val="16"/>
                <w:szCs w:val="16"/>
              </w:rPr>
            </w:pPr>
          </w:p>
        </w:tc>
      </w:tr>
    </w:tbl>
    <w:p w:rsidR="00635E1E" w:rsidRPr="0041175A" w:rsidRDefault="00635E1E" w:rsidP="00635E1E">
      <w:pPr>
        <w:autoSpaceDE w:val="0"/>
        <w:autoSpaceDN w:val="0"/>
        <w:adjustRightInd w:val="0"/>
        <w:rPr>
          <w:rFonts w:asciiTheme="majorHAnsi" w:hAnsiTheme="majorHAnsi" w:cs="TT1A9t00"/>
          <w:b/>
          <w:sz w:val="16"/>
          <w:szCs w:val="16"/>
        </w:rPr>
      </w:pPr>
    </w:p>
    <w:p w:rsidR="00635E1E" w:rsidRPr="0041175A" w:rsidRDefault="00635E1E" w:rsidP="00635E1E">
      <w:pPr>
        <w:autoSpaceDE w:val="0"/>
        <w:autoSpaceDN w:val="0"/>
        <w:adjustRightInd w:val="0"/>
        <w:rPr>
          <w:rFonts w:asciiTheme="majorHAnsi" w:hAnsiTheme="majorHAnsi" w:cs="TT1A9t00"/>
          <w:b/>
          <w:sz w:val="16"/>
          <w:szCs w:val="16"/>
        </w:rPr>
      </w:pPr>
    </w:p>
    <w:p w:rsidR="00635E1E" w:rsidRPr="0041175A" w:rsidRDefault="00635E1E" w:rsidP="00635E1E">
      <w:pPr>
        <w:autoSpaceDE w:val="0"/>
        <w:autoSpaceDN w:val="0"/>
        <w:adjustRightInd w:val="0"/>
        <w:rPr>
          <w:rFonts w:asciiTheme="majorHAnsi" w:hAnsiTheme="majorHAnsi"/>
          <w:i/>
          <w:iCs/>
          <w:sz w:val="16"/>
          <w:szCs w:val="16"/>
        </w:rPr>
      </w:pPr>
      <w:r w:rsidRPr="0041175A">
        <w:rPr>
          <w:rFonts w:asciiTheme="majorHAnsi" w:hAnsiTheme="majorHAnsi"/>
          <w:b/>
          <w:bCs/>
          <w:i/>
          <w:iCs/>
          <w:sz w:val="16"/>
          <w:szCs w:val="16"/>
        </w:rPr>
        <w:t xml:space="preserve">Note: </w:t>
      </w:r>
      <w:r w:rsidRPr="0041175A">
        <w:rPr>
          <w:rFonts w:asciiTheme="majorHAnsi" w:hAnsiTheme="majorHAnsi"/>
          <w:i/>
          <w:iCs/>
          <w:sz w:val="16"/>
          <w:szCs w:val="16"/>
        </w:rPr>
        <w:t>“Securities” shall have the meaning as defined under regulation 2(1</w:t>
      </w:r>
      <w:proofErr w:type="gramStart"/>
      <w:r w:rsidRPr="0041175A">
        <w:rPr>
          <w:rFonts w:asciiTheme="majorHAnsi" w:hAnsiTheme="majorHAnsi"/>
          <w:i/>
          <w:iCs/>
          <w:sz w:val="16"/>
          <w:szCs w:val="16"/>
        </w:rPr>
        <w:t>)(</w:t>
      </w:r>
      <w:proofErr w:type="gramEnd"/>
      <w:r w:rsidRPr="0041175A">
        <w:rPr>
          <w:rFonts w:asciiTheme="majorHAnsi" w:hAnsiTheme="majorHAnsi"/>
          <w:i/>
          <w:iCs/>
          <w:sz w:val="16"/>
          <w:szCs w:val="16"/>
        </w:rPr>
        <w:t>i) of SEBI (Prohibition of Insider Trading) Regulations, 2015.</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Signature:</w:t>
      </w: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Designation:</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Date:</w:t>
      </w:r>
    </w:p>
    <w:p w:rsidR="00635E1E" w:rsidRPr="0041175A" w:rsidRDefault="00635E1E" w:rsidP="00635E1E">
      <w:pPr>
        <w:jc w:val="both"/>
        <w:rPr>
          <w:rFonts w:asciiTheme="majorHAnsi" w:hAnsiTheme="majorHAnsi"/>
          <w:sz w:val="16"/>
          <w:szCs w:val="16"/>
        </w:rPr>
      </w:pPr>
      <w:r w:rsidRPr="0041175A">
        <w:rPr>
          <w:rFonts w:asciiTheme="majorHAnsi" w:hAnsiTheme="majorHAnsi"/>
          <w:sz w:val="16"/>
          <w:szCs w:val="16"/>
        </w:rPr>
        <w:t>Place:</w:t>
      </w:r>
    </w:p>
    <w:p w:rsidR="00635E1E" w:rsidRPr="0041175A" w:rsidRDefault="00635E1E" w:rsidP="00635E1E">
      <w:pPr>
        <w:autoSpaceDE w:val="0"/>
        <w:autoSpaceDN w:val="0"/>
        <w:adjustRightInd w:val="0"/>
        <w:rPr>
          <w:rFonts w:asciiTheme="majorHAnsi" w:hAnsiTheme="majorHAnsi" w:cs="TT1A9t00"/>
          <w:b/>
          <w:sz w:val="16"/>
          <w:szCs w:val="16"/>
        </w:rPr>
      </w:pPr>
    </w:p>
    <w:p w:rsidR="00635E1E" w:rsidRPr="0041175A" w:rsidRDefault="00635E1E" w:rsidP="00635E1E">
      <w:pPr>
        <w:rPr>
          <w:rFonts w:asciiTheme="majorHAnsi" w:hAnsiTheme="majorHAnsi" w:cs="TT1A9t00"/>
          <w:b/>
          <w:sz w:val="16"/>
          <w:szCs w:val="16"/>
        </w:rPr>
      </w:pPr>
      <w:r w:rsidRPr="0041175A">
        <w:rPr>
          <w:rFonts w:asciiTheme="majorHAnsi" w:hAnsiTheme="majorHAnsi" w:cs="TT1A9t00"/>
          <w:b/>
          <w:sz w:val="16"/>
          <w:szCs w:val="16"/>
        </w:rPr>
        <w:br w:type="page"/>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lastRenderedPageBreak/>
        <w:t>FORM B</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Securities and Exchange Board of India (Prohibition of Insider Trading) Regulations, 2015</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 xml:space="preserve">[Regulation 7 (1) (b) read with Regulation 6 (2) and clause 11(2) of </w:t>
      </w:r>
      <w:r w:rsidR="00FF32EF" w:rsidRPr="00FF32EF">
        <w:rPr>
          <w:rFonts w:asciiTheme="majorHAnsi" w:hAnsiTheme="majorHAnsi" w:cs="TT1A9t00"/>
          <w:b/>
          <w:sz w:val="16"/>
          <w:szCs w:val="16"/>
        </w:rPr>
        <w:t>Machino Plastics Limited</w:t>
      </w:r>
      <w:r w:rsidRPr="0041175A">
        <w:rPr>
          <w:rFonts w:asciiTheme="majorHAnsi" w:hAnsiTheme="majorHAnsi" w:cs="TT1A9t00"/>
          <w:b/>
          <w:sz w:val="16"/>
          <w:szCs w:val="16"/>
        </w:rPr>
        <w:t>:</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Code of Conduct to Regulate, Monitor and Report Trading by Insiders]</w:t>
      </w:r>
    </w:p>
    <w:p w:rsidR="00635E1E" w:rsidRPr="0041175A" w:rsidRDefault="00635E1E" w:rsidP="00635E1E">
      <w:pPr>
        <w:autoSpaceDE w:val="0"/>
        <w:autoSpaceDN w:val="0"/>
        <w:adjustRightInd w:val="0"/>
        <w:jc w:val="center"/>
        <w:rPr>
          <w:rFonts w:asciiTheme="majorHAnsi" w:hAnsiTheme="majorHAnsi" w:cs="TT1A9t00"/>
          <w:b/>
          <w:sz w:val="16"/>
          <w:szCs w:val="16"/>
        </w:rPr>
      </w:pPr>
    </w:p>
    <w:p w:rsidR="00635E1E" w:rsidRPr="0041175A" w:rsidRDefault="00635E1E" w:rsidP="00635E1E">
      <w:pPr>
        <w:autoSpaceDE w:val="0"/>
        <w:autoSpaceDN w:val="0"/>
        <w:adjustRightInd w:val="0"/>
        <w:jc w:val="center"/>
        <w:rPr>
          <w:rFonts w:asciiTheme="majorHAnsi" w:hAnsiTheme="majorHAnsi" w:cs="TT1A9t00"/>
          <w:b/>
          <w:sz w:val="16"/>
          <w:szCs w:val="16"/>
        </w:rPr>
      </w:pPr>
    </w:p>
    <w:p w:rsidR="00635E1E" w:rsidRPr="0041175A" w:rsidRDefault="00635E1E" w:rsidP="00635E1E">
      <w:pPr>
        <w:autoSpaceDE w:val="0"/>
        <w:autoSpaceDN w:val="0"/>
        <w:adjustRightInd w:val="0"/>
        <w:rPr>
          <w:rFonts w:asciiTheme="majorHAnsi" w:hAnsiTheme="majorHAnsi" w:cs="TT1A7t00"/>
          <w:b/>
          <w:sz w:val="16"/>
          <w:szCs w:val="16"/>
        </w:rPr>
      </w:pPr>
      <w:r w:rsidRPr="0041175A">
        <w:rPr>
          <w:rFonts w:asciiTheme="majorHAnsi" w:hAnsiTheme="majorHAnsi" w:cs="TT1A7t00"/>
          <w:b/>
          <w:sz w:val="16"/>
          <w:szCs w:val="16"/>
        </w:rPr>
        <w:t xml:space="preserve">Name of the Company: </w:t>
      </w:r>
    </w:p>
    <w:p w:rsidR="00635E1E" w:rsidRPr="0041175A" w:rsidRDefault="00635E1E" w:rsidP="00635E1E">
      <w:pPr>
        <w:autoSpaceDE w:val="0"/>
        <w:autoSpaceDN w:val="0"/>
        <w:adjustRightInd w:val="0"/>
        <w:rPr>
          <w:rFonts w:asciiTheme="majorHAnsi" w:hAnsiTheme="majorHAnsi" w:cs="TT1A7t00"/>
          <w:sz w:val="16"/>
          <w:szCs w:val="16"/>
        </w:rPr>
      </w:pPr>
      <w:r w:rsidRPr="0041175A">
        <w:rPr>
          <w:rFonts w:asciiTheme="majorHAnsi" w:hAnsiTheme="majorHAnsi" w:cs="TT1A7t00"/>
          <w:b/>
          <w:sz w:val="16"/>
          <w:szCs w:val="16"/>
        </w:rPr>
        <w:t xml:space="preserve">ISIN of the Company: </w:t>
      </w:r>
    </w:p>
    <w:p w:rsidR="00635E1E" w:rsidRPr="0041175A" w:rsidRDefault="00635E1E" w:rsidP="00635E1E">
      <w:pPr>
        <w:autoSpaceDE w:val="0"/>
        <w:autoSpaceDN w:val="0"/>
        <w:adjustRightInd w:val="0"/>
        <w:jc w:val="center"/>
        <w:rPr>
          <w:rFonts w:asciiTheme="majorHAnsi" w:hAnsiTheme="majorHAnsi" w:cs="TT1A9t00"/>
          <w:b/>
          <w:sz w:val="16"/>
          <w:szCs w:val="16"/>
        </w:rPr>
      </w:pPr>
    </w:p>
    <w:p w:rsidR="00635E1E" w:rsidRPr="0041175A" w:rsidRDefault="00635E1E" w:rsidP="00635E1E">
      <w:pPr>
        <w:autoSpaceDE w:val="0"/>
        <w:autoSpaceDN w:val="0"/>
        <w:adjustRightInd w:val="0"/>
        <w:rPr>
          <w:rFonts w:asciiTheme="majorHAnsi" w:hAnsiTheme="majorHAnsi" w:cs="TT1A9t00"/>
          <w:b/>
          <w:sz w:val="16"/>
          <w:szCs w:val="16"/>
        </w:rPr>
      </w:pPr>
      <w:r w:rsidRPr="0041175A">
        <w:rPr>
          <w:rFonts w:asciiTheme="majorHAnsi" w:hAnsiTheme="majorHAnsi" w:cs="TT1A9t00"/>
          <w:b/>
          <w:sz w:val="16"/>
          <w:szCs w:val="16"/>
        </w:rPr>
        <w:t>Details of Securities held on appointment of Key Managerial Personnel (KMP) or Director or upon becoming a Promoter of a listed company and other such persons as mentioned in Regulation 6(2)</w:t>
      </w:r>
    </w:p>
    <w:p w:rsidR="00635E1E" w:rsidRPr="0041175A" w:rsidRDefault="00635E1E" w:rsidP="00635E1E">
      <w:pPr>
        <w:autoSpaceDE w:val="0"/>
        <w:autoSpaceDN w:val="0"/>
        <w:adjustRightInd w:val="0"/>
        <w:rPr>
          <w:rFonts w:asciiTheme="majorHAnsi" w:hAnsiTheme="majorHAnsi" w:cs="TT1A9t00"/>
          <w:b/>
          <w:sz w:val="16"/>
          <w:szCs w:val="16"/>
        </w:rPr>
      </w:pPr>
    </w:p>
    <w:tbl>
      <w:tblPr>
        <w:tblW w:w="971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1260"/>
        <w:gridCol w:w="1260"/>
        <w:gridCol w:w="450"/>
        <w:gridCol w:w="810"/>
        <w:gridCol w:w="1080"/>
        <w:gridCol w:w="900"/>
        <w:gridCol w:w="807"/>
        <w:gridCol w:w="810"/>
      </w:tblGrid>
      <w:tr w:rsidR="00635E1E" w:rsidRPr="0041175A" w:rsidTr="002E6687">
        <w:trPr>
          <w:trHeight w:val="1662"/>
        </w:trPr>
        <w:tc>
          <w:tcPr>
            <w:tcW w:w="990" w:type="dxa"/>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Name, PAN</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No., CIN/</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DIN</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&amp; address</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with</w:t>
            </w:r>
          </w:p>
          <w:p w:rsidR="00635E1E" w:rsidRPr="0041175A" w:rsidRDefault="00635E1E" w:rsidP="002E6687">
            <w:pPr>
              <w:jc w:val="center"/>
              <w:rPr>
                <w:rFonts w:asciiTheme="majorHAnsi" w:hAnsiTheme="majorHAnsi"/>
                <w:sz w:val="16"/>
                <w:szCs w:val="16"/>
              </w:rPr>
            </w:pPr>
            <w:r w:rsidRPr="0041175A">
              <w:rPr>
                <w:rFonts w:asciiTheme="majorHAnsi" w:hAnsiTheme="majorHAnsi" w:cs="TT1A7t00"/>
                <w:sz w:val="16"/>
                <w:szCs w:val="16"/>
              </w:rPr>
              <w:t>contact nos.</w:t>
            </w:r>
          </w:p>
        </w:tc>
        <w:tc>
          <w:tcPr>
            <w:tcW w:w="1350" w:type="dxa"/>
            <w:shd w:val="clear" w:color="auto" w:fill="auto"/>
          </w:tcPr>
          <w:p w:rsidR="00635E1E" w:rsidRPr="0041175A" w:rsidRDefault="00635E1E" w:rsidP="002E6687">
            <w:pPr>
              <w:autoSpaceDE w:val="0"/>
              <w:autoSpaceDN w:val="0"/>
              <w:adjustRightInd w:val="0"/>
              <w:rPr>
                <w:rFonts w:asciiTheme="majorHAnsi" w:hAnsiTheme="majorHAnsi" w:cs="TT1A7t00"/>
                <w:sz w:val="16"/>
                <w:szCs w:val="16"/>
              </w:rPr>
            </w:pPr>
            <w:r w:rsidRPr="0041175A">
              <w:rPr>
                <w:rFonts w:asciiTheme="majorHAnsi" w:hAnsiTheme="majorHAnsi" w:cs="TT1A7t00"/>
                <w:sz w:val="16"/>
                <w:szCs w:val="16"/>
              </w:rPr>
              <w:t>Category of</w:t>
            </w:r>
          </w:p>
          <w:p w:rsidR="00635E1E" w:rsidRPr="0041175A" w:rsidRDefault="00635E1E" w:rsidP="002E6687">
            <w:pPr>
              <w:autoSpaceDE w:val="0"/>
              <w:autoSpaceDN w:val="0"/>
              <w:adjustRightInd w:val="0"/>
              <w:rPr>
                <w:rFonts w:asciiTheme="majorHAnsi" w:hAnsiTheme="majorHAnsi" w:cs="TT1A7t00"/>
                <w:sz w:val="16"/>
                <w:szCs w:val="16"/>
              </w:rPr>
            </w:pPr>
            <w:r w:rsidRPr="0041175A">
              <w:rPr>
                <w:rFonts w:asciiTheme="majorHAnsi" w:hAnsiTheme="majorHAnsi" w:cs="TT1A7t00"/>
                <w:sz w:val="16"/>
                <w:szCs w:val="16"/>
              </w:rPr>
              <w:t>Person</w:t>
            </w:r>
          </w:p>
          <w:p w:rsidR="00635E1E" w:rsidRPr="0041175A" w:rsidRDefault="00635E1E" w:rsidP="002E6687">
            <w:pPr>
              <w:autoSpaceDE w:val="0"/>
              <w:autoSpaceDN w:val="0"/>
              <w:adjustRightInd w:val="0"/>
              <w:rPr>
                <w:rFonts w:asciiTheme="majorHAnsi" w:hAnsiTheme="majorHAnsi" w:cs="TT1A7t00"/>
                <w:sz w:val="16"/>
                <w:szCs w:val="16"/>
              </w:rPr>
            </w:pPr>
            <w:r w:rsidRPr="0041175A">
              <w:rPr>
                <w:rFonts w:asciiTheme="majorHAnsi" w:hAnsiTheme="majorHAnsi" w:cs="TT1A7t00"/>
                <w:sz w:val="16"/>
                <w:szCs w:val="16"/>
              </w:rPr>
              <w:t>(Promoters/ KMP /</w:t>
            </w:r>
          </w:p>
          <w:p w:rsidR="00635E1E" w:rsidRPr="0041175A" w:rsidRDefault="00635E1E" w:rsidP="002E6687">
            <w:pPr>
              <w:autoSpaceDE w:val="0"/>
              <w:autoSpaceDN w:val="0"/>
              <w:adjustRightInd w:val="0"/>
              <w:rPr>
                <w:rFonts w:asciiTheme="majorHAnsi" w:hAnsiTheme="majorHAnsi" w:cs="TT1A7t00"/>
                <w:sz w:val="16"/>
                <w:szCs w:val="16"/>
              </w:rPr>
            </w:pPr>
            <w:r w:rsidRPr="0041175A">
              <w:rPr>
                <w:rFonts w:asciiTheme="majorHAnsi" w:hAnsiTheme="majorHAnsi" w:cs="TT1A7t00"/>
                <w:sz w:val="16"/>
                <w:szCs w:val="16"/>
              </w:rPr>
              <w:t xml:space="preserve">Directors/ </w:t>
            </w:r>
            <w:proofErr w:type="spellStart"/>
            <w:r w:rsidRPr="0041175A">
              <w:rPr>
                <w:rFonts w:asciiTheme="majorHAnsi" w:hAnsiTheme="majorHAnsi" w:cs="TT1A7t00"/>
                <w:sz w:val="16"/>
                <w:szCs w:val="16"/>
              </w:rPr>
              <w:t>imme</w:t>
            </w:r>
            <w:proofErr w:type="spellEnd"/>
          </w:p>
          <w:p w:rsidR="00635E1E" w:rsidRPr="0041175A" w:rsidRDefault="00635E1E" w:rsidP="002E6687">
            <w:pPr>
              <w:autoSpaceDE w:val="0"/>
              <w:autoSpaceDN w:val="0"/>
              <w:adjustRightInd w:val="0"/>
              <w:rPr>
                <w:rFonts w:asciiTheme="majorHAnsi" w:hAnsiTheme="majorHAnsi" w:cs="TT1A7t00"/>
                <w:sz w:val="16"/>
                <w:szCs w:val="16"/>
              </w:rPr>
            </w:pPr>
            <w:proofErr w:type="spellStart"/>
            <w:r w:rsidRPr="0041175A">
              <w:rPr>
                <w:rFonts w:asciiTheme="majorHAnsi" w:hAnsiTheme="majorHAnsi" w:cs="TT1A7t00"/>
                <w:sz w:val="16"/>
                <w:szCs w:val="16"/>
              </w:rPr>
              <w:t>diate</w:t>
            </w:r>
            <w:proofErr w:type="spellEnd"/>
          </w:p>
          <w:p w:rsidR="00635E1E" w:rsidRPr="0041175A" w:rsidRDefault="00635E1E" w:rsidP="002E6687">
            <w:pPr>
              <w:autoSpaceDE w:val="0"/>
              <w:autoSpaceDN w:val="0"/>
              <w:adjustRightInd w:val="0"/>
              <w:ind w:right="-108"/>
              <w:rPr>
                <w:rFonts w:asciiTheme="majorHAnsi" w:hAnsiTheme="majorHAnsi" w:cs="TT1A7t00"/>
                <w:sz w:val="16"/>
                <w:szCs w:val="16"/>
              </w:rPr>
            </w:pPr>
            <w:r w:rsidRPr="0041175A">
              <w:rPr>
                <w:rFonts w:asciiTheme="majorHAnsi" w:hAnsiTheme="majorHAnsi" w:cs="TT1A7t00"/>
                <w:sz w:val="16"/>
                <w:szCs w:val="16"/>
              </w:rPr>
              <w:t>relatives/others</w:t>
            </w:r>
          </w:p>
          <w:p w:rsidR="00635E1E" w:rsidRPr="0041175A" w:rsidRDefault="00635E1E" w:rsidP="002E6687">
            <w:pPr>
              <w:rPr>
                <w:rFonts w:asciiTheme="majorHAnsi" w:hAnsiTheme="majorHAnsi"/>
                <w:sz w:val="16"/>
                <w:szCs w:val="16"/>
              </w:rPr>
            </w:pPr>
            <w:proofErr w:type="gramStart"/>
            <w:r w:rsidRPr="0041175A">
              <w:rPr>
                <w:rFonts w:asciiTheme="majorHAnsi" w:hAnsiTheme="majorHAnsi" w:cs="TT1A7t00"/>
                <w:sz w:val="16"/>
                <w:szCs w:val="16"/>
              </w:rPr>
              <w:t>etc</w:t>
            </w:r>
            <w:proofErr w:type="gramEnd"/>
            <w:r w:rsidRPr="0041175A">
              <w:rPr>
                <w:rFonts w:asciiTheme="majorHAnsi" w:hAnsiTheme="majorHAnsi" w:cs="TT1A7t00"/>
                <w:sz w:val="16"/>
                <w:szCs w:val="16"/>
              </w:rPr>
              <w:t>.)</w:t>
            </w:r>
          </w:p>
        </w:tc>
        <w:tc>
          <w:tcPr>
            <w:tcW w:w="1260" w:type="dxa"/>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Date of</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appointment</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of</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Director/KM</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P or date of</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becoming</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cs="TT1A7t00"/>
                <w:sz w:val="16"/>
                <w:szCs w:val="16"/>
              </w:rPr>
              <w:t>promoter</w:t>
            </w:r>
          </w:p>
        </w:tc>
        <w:tc>
          <w:tcPr>
            <w:tcW w:w="1710" w:type="dxa"/>
            <w:gridSpan w:val="2"/>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Securities held</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at the time of</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becoming</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Promoter/</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appointment of</w:t>
            </w:r>
          </w:p>
          <w:p w:rsidR="00635E1E" w:rsidRPr="0041175A" w:rsidRDefault="00635E1E" w:rsidP="002E6687">
            <w:pPr>
              <w:jc w:val="center"/>
              <w:rPr>
                <w:rFonts w:asciiTheme="majorHAnsi" w:hAnsiTheme="majorHAnsi"/>
                <w:sz w:val="16"/>
                <w:szCs w:val="16"/>
              </w:rPr>
            </w:pPr>
            <w:r w:rsidRPr="0041175A">
              <w:rPr>
                <w:rFonts w:asciiTheme="majorHAnsi" w:hAnsiTheme="majorHAnsi" w:cs="TT1A7t00"/>
                <w:sz w:val="16"/>
                <w:szCs w:val="16"/>
              </w:rPr>
              <w:t>Director/KMP</w:t>
            </w:r>
          </w:p>
        </w:tc>
        <w:tc>
          <w:tcPr>
            <w:tcW w:w="81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 of</w:t>
            </w:r>
          </w:p>
          <w:p w:rsidR="00635E1E" w:rsidRPr="0041175A" w:rsidRDefault="00635E1E" w:rsidP="002E6687">
            <w:pPr>
              <w:rPr>
                <w:rFonts w:asciiTheme="majorHAnsi" w:hAnsiTheme="majorHAnsi"/>
                <w:sz w:val="16"/>
                <w:szCs w:val="16"/>
              </w:rPr>
            </w:pPr>
            <w:r w:rsidRPr="0041175A">
              <w:rPr>
                <w:rFonts w:asciiTheme="majorHAnsi" w:hAnsiTheme="majorHAnsi"/>
                <w:sz w:val="16"/>
                <w:szCs w:val="16"/>
              </w:rPr>
              <w:t>Shareholding</w:t>
            </w:r>
          </w:p>
        </w:tc>
        <w:tc>
          <w:tcPr>
            <w:tcW w:w="1980" w:type="dxa"/>
            <w:gridSpan w:val="2"/>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Open Interest of the</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Future</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contracts held at the</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time of becoming</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Promoter/</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appointment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cs="TT1A7t00"/>
                <w:sz w:val="16"/>
                <w:szCs w:val="16"/>
              </w:rPr>
              <w:t>Director/KMP</w:t>
            </w:r>
          </w:p>
        </w:tc>
        <w:tc>
          <w:tcPr>
            <w:tcW w:w="1617" w:type="dxa"/>
            <w:gridSpan w:val="2"/>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Open Interest of the Option</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Contracts held at the time of becoming Promoter/appointment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cs="TT1A7t00"/>
                <w:sz w:val="16"/>
                <w:szCs w:val="16"/>
              </w:rPr>
              <w:t>Director/KMP</w:t>
            </w:r>
          </w:p>
        </w:tc>
      </w:tr>
      <w:tr w:rsidR="00635E1E" w:rsidRPr="0041175A" w:rsidTr="002E6687">
        <w:trPr>
          <w:trHeight w:val="1634"/>
        </w:trPr>
        <w:tc>
          <w:tcPr>
            <w:tcW w:w="990" w:type="dxa"/>
            <w:shd w:val="clear" w:color="auto" w:fill="auto"/>
          </w:tcPr>
          <w:p w:rsidR="00635E1E" w:rsidRPr="0041175A" w:rsidRDefault="00635E1E" w:rsidP="002E6687">
            <w:pPr>
              <w:jc w:val="both"/>
              <w:rPr>
                <w:rFonts w:asciiTheme="majorHAnsi" w:hAnsiTheme="majorHAnsi"/>
                <w:sz w:val="16"/>
                <w:szCs w:val="16"/>
              </w:rPr>
            </w:pPr>
          </w:p>
        </w:tc>
        <w:tc>
          <w:tcPr>
            <w:tcW w:w="1350" w:type="dxa"/>
            <w:shd w:val="clear" w:color="auto" w:fill="auto"/>
          </w:tcPr>
          <w:p w:rsidR="00635E1E" w:rsidRPr="0041175A" w:rsidRDefault="00635E1E" w:rsidP="002E6687">
            <w:pPr>
              <w:jc w:val="both"/>
              <w:rPr>
                <w:rFonts w:asciiTheme="majorHAnsi" w:hAnsiTheme="majorHAnsi"/>
                <w:sz w:val="16"/>
                <w:szCs w:val="16"/>
              </w:rPr>
            </w:pPr>
          </w:p>
        </w:tc>
        <w:tc>
          <w:tcPr>
            <w:tcW w:w="1260" w:type="dxa"/>
            <w:shd w:val="clear" w:color="auto" w:fill="auto"/>
          </w:tcPr>
          <w:p w:rsidR="00635E1E" w:rsidRPr="0041175A" w:rsidRDefault="00635E1E" w:rsidP="002E6687">
            <w:pPr>
              <w:autoSpaceDE w:val="0"/>
              <w:autoSpaceDN w:val="0"/>
              <w:adjustRightInd w:val="0"/>
              <w:jc w:val="both"/>
              <w:rPr>
                <w:rFonts w:asciiTheme="majorHAnsi" w:hAnsiTheme="majorHAnsi"/>
                <w:sz w:val="16"/>
                <w:szCs w:val="16"/>
              </w:rPr>
            </w:pPr>
          </w:p>
        </w:tc>
        <w:tc>
          <w:tcPr>
            <w:tcW w:w="1260" w:type="dxa"/>
            <w:shd w:val="clear" w:color="auto" w:fill="auto"/>
          </w:tcPr>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Type of security (For</w:t>
            </w:r>
          </w:p>
          <w:p w:rsidR="00635E1E" w:rsidRPr="0041175A" w:rsidRDefault="00635E1E" w:rsidP="002E6687">
            <w:pPr>
              <w:autoSpaceDE w:val="0"/>
              <w:autoSpaceDN w:val="0"/>
              <w:adjustRightInd w:val="0"/>
              <w:jc w:val="center"/>
              <w:rPr>
                <w:rFonts w:asciiTheme="majorHAnsi" w:hAnsiTheme="majorHAnsi" w:cs="TT1A7t00"/>
                <w:sz w:val="16"/>
                <w:szCs w:val="16"/>
              </w:rPr>
            </w:pPr>
            <w:proofErr w:type="spellStart"/>
            <w:r w:rsidRPr="0041175A">
              <w:rPr>
                <w:rFonts w:asciiTheme="majorHAnsi" w:hAnsiTheme="majorHAnsi" w:cs="TT1A7t00"/>
                <w:sz w:val="16"/>
                <w:szCs w:val="16"/>
              </w:rPr>
              <w:t>eg</w:t>
            </w:r>
            <w:proofErr w:type="spellEnd"/>
            <w:r w:rsidRPr="0041175A">
              <w:rPr>
                <w:rFonts w:asciiTheme="majorHAnsi" w:hAnsiTheme="majorHAnsi" w:cs="TT1A7t00"/>
                <w:sz w:val="16"/>
                <w:szCs w:val="16"/>
              </w:rPr>
              <w:t>.– Shares,</w:t>
            </w:r>
          </w:p>
          <w:p w:rsidR="00635E1E" w:rsidRPr="0041175A" w:rsidRDefault="00635E1E" w:rsidP="002E6687">
            <w:pPr>
              <w:autoSpaceDE w:val="0"/>
              <w:autoSpaceDN w:val="0"/>
              <w:adjustRightInd w:val="0"/>
              <w:jc w:val="center"/>
              <w:rPr>
                <w:rFonts w:asciiTheme="majorHAnsi" w:hAnsiTheme="majorHAnsi" w:cs="TT1A7t00"/>
                <w:sz w:val="16"/>
                <w:szCs w:val="16"/>
              </w:rPr>
            </w:pPr>
            <w:r w:rsidRPr="0041175A">
              <w:rPr>
                <w:rFonts w:asciiTheme="majorHAnsi" w:hAnsiTheme="majorHAnsi" w:cs="TT1A7t00"/>
                <w:sz w:val="16"/>
                <w:szCs w:val="16"/>
              </w:rPr>
              <w:t>Warrants, Convertible Debentures</w:t>
            </w:r>
          </w:p>
          <w:p w:rsidR="00635E1E" w:rsidRPr="0041175A" w:rsidRDefault="00635E1E" w:rsidP="002E6687">
            <w:pPr>
              <w:jc w:val="center"/>
              <w:rPr>
                <w:rFonts w:asciiTheme="majorHAnsi" w:hAnsiTheme="majorHAnsi"/>
                <w:sz w:val="16"/>
                <w:szCs w:val="16"/>
              </w:rPr>
            </w:pPr>
            <w:proofErr w:type="spellStart"/>
            <w:r w:rsidRPr="0041175A">
              <w:rPr>
                <w:rFonts w:asciiTheme="majorHAnsi" w:hAnsiTheme="majorHAnsi" w:cs="TT1A7t00"/>
                <w:sz w:val="16"/>
                <w:szCs w:val="16"/>
              </w:rPr>
              <w:t>etc</w:t>
            </w:r>
            <w:proofErr w:type="spellEnd"/>
            <w:r w:rsidRPr="0041175A">
              <w:rPr>
                <w:rFonts w:asciiTheme="majorHAnsi" w:hAnsiTheme="majorHAnsi" w:cs="TT1A7t00"/>
                <w:sz w:val="16"/>
                <w:szCs w:val="16"/>
              </w:rPr>
              <w:t>)</w:t>
            </w:r>
          </w:p>
        </w:tc>
        <w:tc>
          <w:tcPr>
            <w:tcW w:w="450" w:type="dxa"/>
            <w:shd w:val="clear" w:color="auto" w:fill="auto"/>
          </w:tcPr>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No</w:t>
            </w:r>
          </w:p>
        </w:tc>
        <w:tc>
          <w:tcPr>
            <w:tcW w:w="810" w:type="dxa"/>
            <w:shd w:val="clear" w:color="auto" w:fill="auto"/>
          </w:tcPr>
          <w:p w:rsidR="00635E1E" w:rsidRPr="0041175A" w:rsidRDefault="00635E1E" w:rsidP="002E6687">
            <w:pPr>
              <w:jc w:val="both"/>
              <w:rPr>
                <w:rFonts w:asciiTheme="majorHAnsi" w:hAnsiTheme="majorHAnsi"/>
                <w:sz w:val="16"/>
                <w:szCs w:val="16"/>
              </w:rPr>
            </w:pPr>
          </w:p>
        </w:tc>
        <w:tc>
          <w:tcPr>
            <w:tcW w:w="108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Number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units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(contracts *</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lot size)</w:t>
            </w:r>
          </w:p>
        </w:tc>
        <w:tc>
          <w:tcPr>
            <w:tcW w:w="90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Notional value in</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Rupee terms</w:t>
            </w:r>
          </w:p>
        </w:tc>
        <w:tc>
          <w:tcPr>
            <w:tcW w:w="807"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Number of</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units</w:t>
            </w:r>
          </w:p>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(contracts * lot</w:t>
            </w:r>
          </w:p>
          <w:p w:rsidR="00635E1E" w:rsidRPr="0041175A" w:rsidRDefault="00635E1E" w:rsidP="002E6687">
            <w:pPr>
              <w:jc w:val="center"/>
              <w:rPr>
                <w:rFonts w:asciiTheme="majorHAnsi" w:hAnsiTheme="majorHAnsi"/>
                <w:sz w:val="16"/>
                <w:szCs w:val="16"/>
              </w:rPr>
            </w:pPr>
            <w:r w:rsidRPr="0041175A">
              <w:rPr>
                <w:rFonts w:asciiTheme="majorHAnsi" w:hAnsiTheme="majorHAnsi"/>
                <w:sz w:val="16"/>
                <w:szCs w:val="16"/>
              </w:rPr>
              <w:t>size)</w:t>
            </w:r>
          </w:p>
        </w:tc>
        <w:tc>
          <w:tcPr>
            <w:tcW w:w="810" w:type="dxa"/>
            <w:shd w:val="clear" w:color="auto" w:fill="auto"/>
          </w:tcPr>
          <w:p w:rsidR="00635E1E" w:rsidRPr="0041175A" w:rsidRDefault="00635E1E" w:rsidP="002E6687">
            <w:pPr>
              <w:autoSpaceDE w:val="0"/>
              <w:autoSpaceDN w:val="0"/>
              <w:adjustRightInd w:val="0"/>
              <w:jc w:val="center"/>
              <w:rPr>
                <w:rFonts w:asciiTheme="majorHAnsi" w:hAnsiTheme="majorHAnsi"/>
                <w:sz w:val="16"/>
                <w:szCs w:val="16"/>
              </w:rPr>
            </w:pPr>
            <w:r w:rsidRPr="0041175A">
              <w:rPr>
                <w:rFonts w:asciiTheme="majorHAnsi" w:hAnsiTheme="majorHAnsi"/>
                <w:sz w:val="16"/>
                <w:szCs w:val="16"/>
              </w:rPr>
              <w:t>Notional value in Rupee terms</w:t>
            </w:r>
          </w:p>
        </w:tc>
      </w:tr>
      <w:tr w:rsidR="00635E1E" w:rsidRPr="0041175A" w:rsidTr="002E6687">
        <w:trPr>
          <w:trHeight w:val="279"/>
        </w:trPr>
        <w:tc>
          <w:tcPr>
            <w:tcW w:w="990" w:type="dxa"/>
            <w:shd w:val="clear" w:color="auto" w:fill="auto"/>
          </w:tcPr>
          <w:p w:rsidR="00635E1E" w:rsidRPr="0041175A" w:rsidRDefault="00635E1E" w:rsidP="002E6687">
            <w:pPr>
              <w:jc w:val="center"/>
              <w:rPr>
                <w:rFonts w:asciiTheme="majorHAnsi" w:hAnsiTheme="majorHAnsi"/>
                <w:sz w:val="16"/>
                <w:szCs w:val="16"/>
              </w:rPr>
            </w:pPr>
          </w:p>
        </w:tc>
        <w:tc>
          <w:tcPr>
            <w:tcW w:w="1350" w:type="dxa"/>
            <w:shd w:val="clear" w:color="auto" w:fill="auto"/>
          </w:tcPr>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p w:rsidR="00635E1E" w:rsidRPr="0041175A" w:rsidRDefault="00635E1E" w:rsidP="002E6687">
            <w:pPr>
              <w:jc w:val="center"/>
              <w:rPr>
                <w:rFonts w:asciiTheme="majorHAnsi" w:hAnsiTheme="majorHAnsi"/>
                <w:sz w:val="16"/>
                <w:szCs w:val="16"/>
              </w:rPr>
            </w:pPr>
          </w:p>
        </w:tc>
        <w:tc>
          <w:tcPr>
            <w:tcW w:w="1260" w:type="dxa"/>
            <w:shd w:val="clear" w:color="auto" w:fill="auto"/>
          </w:tcPr>
          <w:p w:rsidR="00635E1E" w:rsidRPr="0041175A" w:rsidRDefault="00635E1E" w:rsidP="002E6687">
            <w:pPr>
              <w:jc w:val="center"/>
              <w:rPr>
                <w:rFonts w:asciiTheme="majorHAnsi" w:hAnsiTheme="majorHAnsi"/>
                <w:sz w:val="16"/>
                <w:szCs w:val="16"/>
              </w:rPr>
            </w:pPr>
          </w:p>
        </w:tc>
        <w:tc>
          <w:tcPr>
            <w:tcW w:w="1260" w:type="dxa"/>
            <w:shd w:val="clear" w:color="auto" w:fill="auto"/>
          </w:tcPr>
          <w:p w:rsidR="00635E1E" w:rsidRPr="0041175A" w:rsidRDefault="00635E1E" w:rsidP="002E6687">
            <w:pPr>
              <w:jc w:val="center"/>
              <w:rPr>
                <w:rFonts w:asciiTheme="majorHAnsi" w:hAnsiTheme="majorHAnsi"/>
                <w:sz w:val="16"/>
                <w:szCs w:val="16"/>
              </w:rPr>
            </w:pPr>
          </w:p>
        </w:tc>
        <w:tc>
          <w:tcPr>
            <w:tcW w:w="450" w:type="dxa"/>
            <w:shd w:val="clear" w:color="auto" w:fill="auto"/>
          </w:tcPr>
          <w:p w:rsidR="00635E1E" w:rsidRPr="0041175A" w:rsidRDefault="00635E1E" w:rsidP="002E6687">
            <w:pPr>
              <w:jc w:val="center"/>
              <w:rPr>
                <w:rFonts w:asciiTheme="majorHAnsi" w:hAnsiTheme="majorHAnsi"/>
                <w:sz w:val="16"/>
                <w:szCs w:val="16"/>
              </w:rPr>
            </w:pPr>
          </w:p>
        </w:tc>
        <w:tc>
          <w:tcPr>
            <w:tcW w:w="810" w:type="dxa"/>
            <w:shd w:val="clear" w:color="auto" w:fill="auto"/>
          </w:tcPr>
          <w:p w:rsidR="00635E1E" w:rsidRPr="0041175A" w:rsidRDefault="00635E1E" w:rsidP="002E6687">
            <w:pPr>
              <w:jc w:val="center"/>
              <w:rPr>
                <w:rFonts w:asciiTheme="majorHAnsi" w:hAnsiTheme="majorHAnsi"/>
                <w:sz w:val="16"/>
                <w:szCs w:val="16"/>
              </w:rPr>
            </w:pPr>
          </w:p>
        </w:tc>
        <w:tc>
          <w:tcPr>
            <w:tcW w:w="1080" w:type="dxa"/>
            <w:shd w:val="clear" w:color="auto" w:fill="auto"/>
          </w:tcPr>
          <w:p w:rsidR="00635E1E" w:rsidRPr="0041175A" w:rsidRDefault="00635E1E" w:rsidP="002E6687">
            <w:pPr>
              <w:jc w:val="center"/>
              <w:rPr>
                <w:rFonts w:asciiTheme="majorHAnsi" w:hAnsiTheme="majorHAnsi"/>
                <w:sz w:val="16"/>
                <w:szCs w:val="16"/>
              </w:rPr>
            </w:pPr>
          </w:p>
        </w:tc>
        <w:tc>
          <w:tcPr>
            <w:tcW w:w="900" w:type="dxa"/>
            <w:shd w:val="clear" w:color="auto" w:fill="auto"/>
          </w:tcPr>
          <w:p w:rsidR="00635E1E" w:rsidRPr="0041175A" w:rsidRDefault="00635E1E" w:rsidP="002E6687">
            <w:pPr>
              <w:jc w:val="center"/>
              <w:rPr>
                <w:rFonts w:asciiTheme="majorHAnsi" w:hAnsiTheme="majorHAnsi"/>
                <w:sz w:val="16"/>
                <w:szCs w:val="16"/>
              </w:rPr>
            </w:pPr>
          </w:p>
        </w:tc>
        <w:tc>
          <w:tcPr>
            <w:tcW w:w="807" w:type="dxa"/>
            <w:shd w:val="clear" w:color="auto" w:fill="auto"/>
          </w:tcPr>
          <w:p w:rsidR="00635E1E" w:rsidRPr="0041175A" w:rsidRDefault="00635E1E" w:rsidP="002E6687">
            <w:pPr>
              <w:jc w:val="center"/>
              <w:rPr>
                <w:rFonts w:asciiTheme="majorHAnsi" w:hAnsiTheme="majorHAnsi"/>
                <w:sz w:val="16"/>
                <w:szCs w:val="16"/>
              </w:rPr>
            </w:pPr>
          </w:p>
        </w:tc>
        <w:tc>
          <w:tcPr>
            <w:tcW w:w="810" w:type="dxa"/>
            <w:shd w:val="clear" w:color="auto" w:fill="auto"/>
          </w:tcPr>
          <w:p w:rsidR="00635E1E" w:rsidRPr="0041175A" w:rsidRDefault="00635E1E" w:rsidP="002E6687">
            <w:pPr>
              <w:jc w:val="center"/>
              <w:rPr>
                <w:rFonts w:asciiTheme="majorHAnsi" w:hAnsiTheme="majorHAnsi"/>
                <w:sz w:val="16"/>
                <w:szCs w:val="16"/>
              </w:rPr>
            </w:pPr>
          </w:p>
        </w:tc>
      </w:tr>
    </w:tbl>
    <w:p w:rsidR="00635E1E" w:rsidRPr="0041175A" w:rsidRDefault="00635E1E" w:rsidP="00635E1E">
      <w:pPr>
        <w:autoSpaceDE w:val="0"/>
        <w:autoSpaceDN w:val="0"/>
        <w:adjustRightInd w:val="0"/>
        <w:rPr>
          <w:rFonts w:asciiTheme="majorHAnsi" w:hAnsiTheme="majorHAnsi"/>
          <w:b/>
          <w:bCs/>
          <w:i/>
          <w:iCs/>
          <w:sz w:val="16"/>
          <w:szCs w:val="16"/>
        </w:rPr>
      </w:pPr>
    </w:p>
    <w:p w:rsidR="00635E1E" w:rsidRPr="0041175A" w:rsidRDefault="00635E1E" w:rsidP="00635E1E">
      <w:pPr>
        <w:autoSpaceDE w:val="0"/>
        <w:autoSpaceDN w:val="0"/>
        <w:adjustRightInd w:val="0"/>
        <w:rPr>
          <w:rFonts w:asciiTheme="majorHAnsi" w:hAnsiTheme="majorHAnsi"/>
          <w:i/>
          <w:iCs/>
          <w:sz w:val="16"/>
          <w:szCs w:val="16"/>
        </w:rPr>
      </w:pPr>
      <w:r w:rsidRPr="0041175A">
        <w:rPr>
          <w:rFonts w:asciiTheme="majorHAnsi" w:hAnsiTheme="majorHAnsi"/>
          <w:b/>
          <w:bCs/>
          <w:i/>
          <w:iCs/>
          <w:sz w:val="16"/>
          <w:szCs w:val="16"/>
        </w:rPr>
        <w:t xml:space="preserve">Note: </w:t>
      </w:r>
      <w:r w:rsidRPr="0041175A">
        <w:rPr>
          <w:rFonts w:asciiTheme="majorHAnsi" w:hAnsiTheme="majorHAnsi"/>
          <w:i/>
          <w:iCs/>
          <w:sz w:val="16"/>
          <w:szCs w:val="16"/>
        </w:rPr>
        <w:t>“Securities” shall have the meaning as defined under regulation 2(1</w:t>
      </w:r>
      <w:proofErr w:type="gramStart"/>
      <w:r w:rsidRPr="0041175A">
        <w:rPr>
          <w:rFonts w:asciiTheme="majorHAnsi" w:hAnsiTheme="majorHAnsi"/>
          <w:i/>
          <w:iCs/>
          <w:sz w:val="16"/>
          <w:szCs w:val="16"/>
        </w:rPr>
        <w:t>)(</w:t>
      </w:r>
      <w:proofErr w:type="gramEnd"/>
      <w:r w:rsidRPr="0041175A">
        <w:rPr>
          <w:rFonts w:asciiTheme="majorHAnsi" w:hAnsiTheme="majorHAnsi"/>
          <w:i/>
          <w:iCs/>
          <w:sz w:val="16"/>
          <w:szCs w:val="16"/>
        </w:rPr>
        <w:t>i) of SEBI (Prohibition of Insider Trading) Regulations, 2015.</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Signature:</w:t>
      </w: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Designation:</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Date:</w:t>
      </w:r>
    </w:p>
    <w:p w:rsidR="00635E1E" w:rsidRPr="0041175A" w:rsidRDefault="00635E1E" w:rsidP="00635E1E">
      <w:pPr>
        <w:jc w:val="both"/>
        <w:rPr>
          <w:rFonts w:asciiTheme="majorHAnsi" w:hAnsiTheme="majorHAnsi"/>
          <w:sz w:val="16"/>
          <w:szCs w:val="16"/>
        </w:rPr>
      </w:pPr>
      <w:r w:rsidRPr="0041175A">
        <w:rPr>
          <w:rFonts w:asciiTheme="majorHAnsi" w:hAnsiTheme="majorHAnsi"/>
          <w:sz w:val="16"/>
          <w:szCs w:val="16"/>
        </w:rPr>
        <w:t>Place:</w:t>
      </w:r>
    </w:p>
    <w:p w:rsidR="00635E1E" w:rsidRPr="0041175A" w:rsidRDefault="00635E1E" w:rsidP="00635E1E">
      <w:pPr>
        <w:autoSpaceDE w:val="0"/>
        <w:autoSpaceDN w:val="0"/>
        <w:adjustRightInd w:val="0"/>
        <w:rPr>
          <w:rFonts w:asciiTheme="majorHAnsi" w:hAnsiTheme="majorHAnsi" w:cs="TT1A9t00"/>
          <w:b/>
          <w:sz w:val="16"/>
          <w:szCs w:val="16"/>
        </w:rPr>
      </w:pPr>
    </w:p>
    <w:p w:rsidR="00635E1E" w:rsidRPr="0041175A" w:rsidRDefault="00635E1E" w:rsidP="00635E1E">
      <w:pPr>
        <w:rPr>
          <w:rFonts w:asciiTheme="majorHAnsi" w:hAnsiTheme="majorHAnsi" w:cs="TT1A9t00"/>
          <w:b/>
          <w:sz w:val="16"/>
          <w:szCs w:val="16"/>
        </w:rPr>
      </w:pPr>
      <w:r w:rsidRPr="0041175A">
        <w:rPr>
          <w:rFonts w:asciiTheme="majorHAnsi" w:hAnsiTheme="majorHAnsi" w:cs="TT1A9t00"/>
          <w:b/>
          <w:sz w:val="16"/>
          <w:szCs w:val="16"/>
        </w:rPr>
        <w:br w:type="page"/>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lastRenderedPageBreak/>
        <w:t>FORM C</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Securities and Exchange Board of India (Prohibition of Insider Trading) Regulations, 2015</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 xml:space="preserve">[Regulation 7 (2) read with Regulation 6 (2) and clause 12(1) of </w:t>
      </w:r>
      <w:r w:rsidR="00FF32EF" w:rsidRPr="00FF32EF">
        <w:rPr>
          <w:rFonts w:asciiTheme="majorHAnsi" w:hAnsiTheme="majorHAnsi" w:cs="TT1A9t00"/>
          <w:b/>
          <w:sz w:val="16"/>
          <w:szCs w:val="16"/>
        </w:rPr>
        <w:t>Machino Plastics Limited</w:t>
      </w:r>
      <w:r w:rsidRPr="0041175A">
        <w:rPr>
          <w:rFonts w:asciiTheme="majorHAnsi" w:hAnsiTheme="majorHAnsi" w:cs="TT1A9t00"/>
          <w:b/>
          <w:sz w:val="16"/>
          <w:szCs w:val="16"/>
        </w:rPr>
        <w:t xml:space="preserve">: </w:t>
      </w:r>
    </w:p>
    <w:p w:rsidR="00635E1E" w:rsidRPr="0041175A" w:rsidRDefault="00635E1E" w:rsidP="00635E1E">
      <w:pPr>
        <w:autoSpaceDE w:val="0"/>
        <w:autoSpaceDN w:val="0"/>
        <w:adjustRightInd w:val="0"/>
        <w:jc w:val="center"/>
        <w:rPr>
          <w:rFonts w:asciiTheme="majorHAnsi" w:hAnsiTheme="majorHAnsi" w:cs="TT1A9t00"/>
          <w:b/>
          <w:sz w:val="16"/>
          <w:szCs w:val="16"/>
        </w:rPr>
      </w:pPr>
      <w:r w:rsidRPr="0041175A">
        <w:rPr>
          <w:rFonts w:asciiTheme="majorHAnsi" w:hAnsiTheme="majorHAnsi" w:cs="TT1A9t00"/>
          <w:b/>
          <w:sz w:val="16"/>
          <w:szCs w:val="16"/>
        </w:rPr>
        <w:t>Code of Conduct to Regulate, Monitor and Report Trading by Insiders]</w:t>
      </w:r>
    </w:p>
    <w:p w:rsidR="00635E1E" w:rsidRPr="0041175A" w:rsidRDefault="00635E1E" w:rsidP="00635E1E">
      <w:pPr>
        <w:autoSpaceDE w:val="0"/>
        <w:autoSpaceDN w:val="0"/>
        <w:adjustRightInd w:val="0"/>
        <w:rPr>
          <w:rFonts w:asciiTheme="majorHAnsi" w:hAnsiTheme="majorHAnsi" w:cs="TT1A7t00"/>
          <w:b/>
          <w:sz w:val="16"/>
          <w:szCs w:val="16"/>
        </w:rPr>
      </w:pPr>
    </w:p>
    <w:p w:rsidR="00FF32EF" w:rsidRDefault="00635E1E" w:rsidP="00635E1E">
      <w:pPr>
        <w:autoSpaceDE w:val="0"/>
        <w:autoSpaceDN w:val="0"/>
        <w:adjustRightInd w:val="0"/>
        <w:rPr>
          <w:rFonts w:asciiTheme="majorHAnsi" w:hAnsiTheme="majorHAnsi" w:cs="TT1A7t00"/>
          <w:b/>
          <w:sz w:val="16"/>
          <w:szCs w:val="16"/>
        </w:rPr>
      </w:pPr>
      <w:r w:rsidRPr="0041175A">
        <w:rPr>
          <w:rFonts w:asciiTheme="majorHAnsi" w:hAnsiTheme="majorHAnsi" w:cs="TT1A7t00"/>
          <w:b/>
          <w:sz w:val="16"/>
          <w:szCs w:val="16"/>
        </w:rPr>
        <w:t xml:space="preserve">Name of the Company: </w:t>
      </w:r>
    </w:p>
    <w:p w:rsidR="00635E1E" w:rsidRPr="0041175A" w:rsidRDefault="00635E1E" w:rsidP="00635E1E">
      <w:pPr>
        <w:autoSpaceDE w:val="0"/>
        <w:autoSpaceDN w:val="0"/>
        <w:adjustRightInd w:val="0"/>
        <w:rPr>
          <w:rFonts w:asciiTheme="majorHAnsi" w:hAnsiTheme="majorHAnsi" w:cs="TT1A7t00"/>
          <w:sz w:val="16"/>
          <w:szCs w:val="16"/>
        </w:rPr>
      </w:pPr>
      <w:r w:rsidRPr="0041175A">
        <w:rPr>
          <w:rFonts w:asciiTheme="majorHAnsi" w:hAnsiTheme="majorHAnsi" w:cs="TT1A7t00"/>
          <w:b/>
          <w:sz w:val="16"/>
          <w:szCs w:val="16"/>
        </w:rPr>
        <w:t xml:space="preserve">ISIN of the Company: </w:t>
      </w:r>
    </w:p>
    <w:p w:rsidR="00635E1E" w:rsidRPr="0041175A" w:rsidRDefault="00635E1E" w:rsidP="00635E1E">
      <w:pPr>
        <w:autoSpaceDE w:val="0"/>
        <w:autoSpaceDN w:val="0"/>
        <w:adjustRightInd w:val="0"/>
        <w:jc w:val="center"/>
        <w:rPr>
          <w:rFonts w:asciiTheme="majorHAnsi" w:hAnsiTheme="majorHAnsi" w:cs="TT1A9t00"/>
          <w:b/>
          <w:sz w:val="16"/>
          <w:szCs w:val="16"/>
        </w:rPr>
      </w:pPr>
    </w:p>
    <w:p w:rsidR="00635E1E" w:rsidRPr="0041175A" w:rsidRDefault="00635E1E" w:rsidP="00635E1E">
      <w:pPr>
        <w:autoSpaceDE w:val="0"/>
        <w:autoSpaceDN w:val="0"/>
        <w:adjustRightInd w:val="0"/>
        <w:jc w:val="both"/>
        <w:rPr>
          <w:rFonts w:asciiTheme="majorHAnsi" w:hAnsiTheme="majorHAnsi" w:cs="TT1A9t00"/>
          <w:b/>
          <w:sz w:val="16"/>
          <w:szCs w:val="16"/>
        </w:rPr>
      </w:pPr>
      <w:r w:rsidRPr="0041175A">
        <w:rPr>
          <w:rFonts w:asciiTheme="majorHAnsi" w:hAnsiTheme="majorHAnsi" w:cs="TT1A9t00"/>
          <w:b/>
          <w:sz w:val="16"/>
          <w:szCs w:val="16"/>
        </w:rPr>
        <w:t>Details of change in holding of Securities of Promoter, Employee or Director of a listed company</w:t>
      </w:r>
    </w:p>
    <w:p w:rsidR="00635E1E" w:rsidRPr="0041175A" w:rsidRDefault="00635E1E" w:rsidP="00635E1E">
      <w:pPr>
        <w:autoSpaceDE w:val="0"/>
        <w:autoSpaceDN w:val="0"/>
        <w:adjustRightInd w:val="0"/>
        <w:jc w:val="both"/>
        <w:rPr>
          <w:rFonts w:asciiTheme="majorHAnsi" w:hAnsiTheme="majorHAnsi" w:cs="TT1A9t00"/>
          <w:b/>
          <w:sz w:val="16"/>
          <w:szCs w:val="16"/>
        </w:rPr>
      </w:pPr>
      <w:proofErr w:type="gramStart"/>
      <w:r w:rsidRPr="0041175A">
        <w:rPr>
          <w:rFonts w:asciiTheme="majorHAnsi" w:hAnsiTheme="majorHAnsi" w:cs="TT1A9t00"/>
          <w:b/>
          <w:sz w:val="16"/>
          <w:szCs w:val="16"/>
        </w:rPr>
        <w:t>and</w:t>
      </w:r>
      <w:proofErr w:type="gramEnd"/>
      <w:r w:rsidRPr="0041175A">
        <w:rPr>
          <w:rFonts w:asciiTheme="majorHAnsi" w:hAnsiTheme="majorHAnsi" w:cs="TT1A9t00"/>
          <w:b/>
          <w:sz w:val="16"/>
          <w:szCs w:val="16"/>
        </w:rPr>
        <w:t xml:space="preserve"> other such persons as mentioned in Regulation 6(2)</w:t>
      </w:r>
    </w:p>
    <w:p w:rsidR="00635E1E" w:rsidRPr="0041175A" w:rsidRDefault="00635E1E" w:rsidP="00635E1E">
      <w:pPr>
        <w:autoSpaceDE w:val="0"/>
        <w:autoSpaceDN w:val="0"/>
        <w:adjustRightInd w:val="0"/>
        <w:jc w:val="both"/>
        <w:rPr>
          <w:rFonts w:asciiTheme="majorHAnsi" w:hAnsiTheme="majorHAnsi" w:cs="TT1A9t00"/>
          <w:b/>
          <w:sz w:val="16"/>
          <w:szCs w:val="16"/>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900"/>
        <w:gridCol w:w="450"/>
        <w:gridCol w:w="900"/>
        <w:gridCol w:w="360"/>
        <w:gridCol w:w="630"/>
        <w:gridCol w:w="630"/>
        <w:gridCol w:w="630"/>
        <w:gridCol w:w="360"/>
        <w:gridCol w:w="630"/>
        <w:gridCol w:w="720"/>
        <w:gridCol w:w="450"/>
        <w:gridCol w:w="630"/>
        <w:gridCol w:w="540"/>
        <w:gridCol w:w="540"/>
        <w:gridCol w:w="630"/>
      </w:tblGrid>
      <w:tr w:rsidR="00635E1E" w:rsidRPr="0041175A" w:rsidTr="002E6687">
        <w:trPr>
          <w:trHeight w:val="1637"/>
        </w:trPr>
        <w:tc>
          <w:tcPr>
            <w:tcW w:w="81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Name, PAN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No., CIN/ DIN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&amp; address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Promoter/</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Employee/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Director with</w:t>
            </w:r>
          </w:p>
          <w:p w:rsidR="00635E1E" w:rsidRPr="0041175A" w:rsidRDefault="00635E1E" w:rsidP="002E6687">
            <w:pPr>
              <w:jc w:val="both"/>
              <w:rPr>
                <w:rFonts w:asciiTheme="majorHAnsi" w:hAnsiTheme="majorHAnsi"/>
                <w:sz w:val="14"/>
                <w:szCs w:val="14"/>
              </w:rPr>
            </w:pPr>
            <w:r w:rsidRPr="0041175A">
              <w:rPr>
                <w:rFonts w:asciiTheme="majorHAnsi" w:hAnsiTheme="majorHAnsi" w:cs="TT1A7t00"/>
                <w:sz w:val="14"/>
                <w:szCs w:val="14"/>
              </w:rPr>
              <w:t>contact nos.</w:t>
            </w:r>
          </w:p>
        </w:tc>
        <w:tc>
          <w:tcPr>
            <w:tcW w:w="81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Category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Person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(Promoters/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KMP /</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Directors/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immediate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relatives/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others</w:t>
            </w:r>
          </w:p>
          <w:p w:rsidR="00635E1E" w:rsidRPr="0041175A" w:rsidRDefault="00635E1E" w:rsidP="002E6687">
            <w:pPr>
              <w:jc w:val="both"/>
              <w:rPr>
                <w:rFonts w:asciiTheme="majorHAnsi" w:hAnsiTheme="majorHAnsi"/>
                <w:sz w:val="14"/>
                <w:szCs w:val="14"/>
              </w:rPr>
            </w:pPr>
            <w:proofErr w:type="gramStart"/>
            <w:r w:rsidRPr="0041175A">
              <w:rPr>
                <w:rFonts w:asciiTheme="majorHAnsi" w:hAnsiTheme="majorHAnsi" w:cs="TT1A7t00"/>
                <w:sz w:val="14"/>
                <w:szCs w:val="14"/>
              </w:rPr>
              <w:t>etc</w:t>
            </w:r>
            <w:proofErr w:type="gramEnd"/>
            <w:r w:rsidRPr="0041175A">
              <w:rPr>
                <w:rFonts w:asciiTheme="majorHAnsi" w:hAnsiTheme="majorHAnsi" w:cs="TT1A7t00"/>
                <w:sz w:val="14"/>
                <w:szCs w:val="14"/>
              </w:rPr>
              <w:t>.)</w:t>
            </w:r>
          </w:p>
        </w:tc>
        <w:tc>
          <w:tcPr>
            <w:tcW w:w="135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Securities held</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prior to</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acquisition/</w:t>
            </w:r>
          </w:p>
          <w:p w:rsidR="00635E1E" w:rsidRPr="0041175A" w:rsidRDefault="00635E1E" w:rsidP="002E6687">
            <w:pPr>
              <w:jc w:val="both"/>
              <w:rPr>
                <w:rFonts w:asciiTheme="majorHAnsi" w:hAnsiTheme="majorHAnsi"/>
                <w:sz w:val="14"/>
                <w:szCs w:val="14"/>
              </w:rPr>
            </w:pPr>
            <w:r w:rsidRPr="0041175A">
              <w:rPr>
                <w:rFonts w:asciiTheme="majorHAnsi" w:hAnsiTheme="majorHAnsi" w:cs="TT1A7t00"/>
                <w:sz w:val="14"/>
                <w:szCs w:val="14"/>
              </w:rPr>
              <w:t>disposal</w:t>
            </w:r>
          </w:p>
        </w:tc>
        <w:tc>
          <w:tcPr>
            <w:tcW w:w="126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Securities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acquired/</w:t>
            </w:r>
          </w:p>
          <w:p w:rsidR="00635E1E" w:rsidRPr="0041175A" w:rsidRDefault="00635E1E" w:rsidP="002E6687">
            <w:pPr>
              <w:jc w:val="both"/>
              <w:rPr>
                <w:rFonts w:asciiTheme="majorHAnsi" w:hAnsiTheme="majorHAnsi"/>
                <w:sz w:val="14"/>
                <w:szCs w:val="14"/>
              </w:rPr>
            </w:pPr>
            <w:r w:rsidRPr="0041175A">
              <w:rPr>
                <w:rFonts w:asciiTheme="majorHAnsi" w:hAnsiTheme="majorHAnsi" w:cs="TT1A7t00"/>
                <w:sz w:val="14"/>
                <w:szCs w:val="14"/>
              </w:rPr>
              <w:t>Disposed</w:t>
            </w:r>
          </w:p>
        </w:tc>
        <w:tc>
          <w:tcPr>
            <w:tcW w:w="126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 of</w:t>
            </w:r>
          </w:p>
          <w:p w:rsidR="00635E1E" w:rsidRPr="0041175A" w:rsidRDefault="00635E1E" w:rsidP="002E6687">
            <w:pPr>
              <w:autoSpaceDE w:val="0"/>
              <w:autoSpaceDN w:val="0"/>
              <w:adjustRightInd w:val="0"/>
              <w:rPr>
                <w:rFonts w:asciiTheme="majorHAnsi" w:hAnsiTheme="majorHAnsi"/>
                <w:sz w:val="14"/>
                <w:szCs w:val="14"/>
              </w:rPr>
            </w:pPr>
            <w:r w:rsidRPr="0041175A">
              <w:rPr>
                <w:rFonts w:asciiTheme="majorHAnsi" w:hAnsiTheme="majorHAnsi" w:cs="TT1A7t00"/>
                <w:sz w:val="14"/>
                <w:szCs w:val="14"/>
              </w:rPr>
              <w:t>Shareholding</w:t>
            </w:r>
          </w:p>
        </w:tc>
        <w:tc>
          <w:tcPr>
            <w:tcW w:w="99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Date of allotment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advice/acquisition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of shares/ sale of</w:t>
            </w:r>
          </w:p>
          <w:p w:rsidR="00635E1E" w:rsidRPr="0041175A" w:rsidRDefault="00635E1E" w:rsidP="002E6687">
            <w:pPr>
              <w:autoSpaceDE w:val="0"/>
              <w:autoSpaceDN w:val="0"/>
              <w:adjustRightInd w:val="0"/>
              <w:rPr>
                <w:rFonts w:asciiTheme="majorHAnsi" w:hAnsiTheme="majorHAnsi"/>
                <w:sz w:val="14"/>
                <w:szCs w:val="14"/>
              </w:rPr>
            </w:pPr>
            <w:r w:rsidRPr="0041175A">
              <w:rPr>
                <w:rFonts w:asciiTheme="majorHAnsi" w:hAnsiTheme="majorHAnsi" w:cs="TT1A7t00"/>
                <w:sz w:val="14"/>
                <w:szCs w:val="14"/>
              </w:rPr>
              <w:t>shares specify</w:t>
            </w:r>
          </w:p>
        </w:tc>
        <w:tc>
          <w:tcPr>
            <w:tcW w:w="63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Date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intimation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to the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company</w:t>
            </w:r>
          </w:p>
        </w:tc>
        <w:tc>
          <w:tcPr>
            <w:tcW w:w="72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Mode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acquisition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(market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purchase/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public/right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preferential</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offer/off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market/Inter-se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transfer</w:t>
            </w:r>
          </w:p>
          <w:p w:rsidR="00635E1E" w:rsidRPr="0041175A" w:rsidRDefault="00635E1E" w:rsidP="002E6687">
            <w:pPr>
              <w:autoSpaceDE w:val="0"/>
              <w:autoSpaceDN w:val="0"/>
              <w:adjustRightInd w:val="0"/>
              <w:rPr>
                <w:rFonts w:asciiTheme="majorHAnsi" w:hAnsiTheme="majorHAnsi" w:cs="TT1A7t00"/>
                <w:sz w:val="14"/>
                <w:szCs w:val="14"/>
              </w:rPr>
            </w:pPr>
            <w:proofErr w:type="gramStart"/>
            <w:r w:rsidRPr="0041175A">
              <w:rPr>
                <w:rFonts w:asciiTheme="majorHAnsi" w:hAnsiTheme="majorHAnsi" w:cs="TT1A7t00"/>
                <w:sz w:val="14"/>
                <w:szCs w:val="14"/>
              </w:rPr>
              <w:t>etc</w:t>
            </w:r>
            <w:proofErr w:type="gramEnd"/>
            <w:r w:rsidRPr="0041175A">
              <w:rPr>
                <w:rFonts w:asciiTheme="majorHAnsi" w:hAnsiTheme="majorHAnsi" w:cs="TT1A7t00"/>
                <w:sz w:val="14"/>
                <w:szCs w:val="14"/>
              </w:rPr>
              <w:t>.)</w:t>
            </w:r>
          </w:p>
        </w:tc>
        <w:tc>
          <w:tcPr>
            <w:tcW w:w="2160" w:type="dxa"/>
            <w:gridSpan w:val="4"/>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Trading in Derivatives (Specify type of contract, Futures or options etc.)</w:t>
            </w:r>
          </w:p>
        </w:tc>
        <w:tc>
          <w:tcPr>
            <w:tcW w:w="63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Exchange 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which the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trade was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executed</w:t>
            </w:r>
          </w:p>
        </w:tc>
      </w:tr>
      <w:tr w:rsidR="00635E1E" w:rsidRPr="0041175A" w:rsidTr="002E6687">
        <w:trPr>
          <w:trHeight w:val="557"/>
        </w:trPr>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Type of</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security</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 xml:space="preserve">(For </w:t>
            </w:r>
            <w:proofErr w:type="spellStart"/>
            <w:r w:rsidRPr="0041175A">
              <w:rPr>
                <w:rFonts w:asciiTheme="majorHAnsi" w:hAnsiTheme="majorHAnsi" w:cs="TT1A7t00"/>
                <w:sz w:val="14"/>
                <w:szCs w:val="14"/>
              </w:rPr>
              <w:t>eg</w:t>
            </w:r>
            <w:proofErr w:type="spellEnd"/>
            <w:r w:rsidRPr="0041175A">
              <w:rPr>
                <w:rFonts w:asciiTheme="majorHAnsi" w:hAnsiTheme="majorHAnsi" w:cs="TT1A7t00"/>
                <w:sz w:val="14"/>
                <w:szCs w:val="14"/>
              </w:rPr>
              <w:t>.–</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Shares,</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Warrants</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Convertible</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Debentures etc.)</w:t>
            </w:r>
          </w:p>
        </w:tc>
        <w:tc>
          <w:tcPr>
            <w:tcW w:w="450" w:type="dxa"/>
            <w:vMerge w:val="restart"/>
            <w:shd w:val="clear" w:color="auto" w:fill="auto"/>
          </w:tcPr>
          <w:p w:rsidR="00635E1E" w:rsidRPr="0041175A" w:rsidRDefault="00635E1E" w:rsidP="002E6687">
            <w:pPr>
              <w:pStyle w:val="NoSpacing"/>
              <w:tabs>
                <w:tab w:val="left" w:pos="144"/>
              </w:tabs>
              <w:ind w:left="-108"/>
              <w:jc w:val="center"/>
              <w:rPr>
                <w:rFonts w:asciiTheme="majorHAnsi" w:hAnsiTheme="majorHAnsi"/>
                <w:sz w:val="14"/>
                <w:szCs w:val="14"/>
              </w:rPr>
            </w:pPr>
            <w:r w:rsidRPr="0041175A">
              <w:rPr>
                <w:rFonts w:asciiTheme="majorHAnsi" w:hAnsiTheme="majorHAnsi"/>
                <w:sz w:val="14"/>
                <w:szCs w:val="14"/>
              </w:rPr>
              <w:t>No</w:t>
            </w:r>
          </w:p>
        </w:tc>
        <w:tc>
          <w:tcPr>
            <w:tcW w:w="90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Type of</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Security</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 xml:space="preserve">(For </w:t>
            </w:r>
            <w:proofErr w:type="spellStart"/>
            <w:r w:rsidRPr="0041175A">
              <w:rPr>
                <w:rFonts w:asciiTheme="majorHAnsi" w:hAnsiTheme="majorHAnsi" w:cs="TT1A7t00"/>
                <w:sz w:val="14"/>
                <w:szCs w:val="14"/>
              </w:rPr>
              <w:t>eg</w:t>
            </w:r>
            <w:proofErr w:type="spellEnd"/>
            <w:r w:rsidRPr="0041175A">
              <w:rPr>
                <w:rFonts w:asciiTheme="majorHAnsi" w:hAnsiTheme="majorHAnsi" w:cs="TT1A7t00"/>
                <w:sz w:val="14"/>
                <w:szCs w:val="14"/>
              </w:rPr>
              <w:t>.–  Shares,</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Warrants,</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Convertible</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Debentures</w:t>
            </w:r>
          </w:p>
          <w:p w:rsidR="00635E1E" w:rsidRPr="0041175A" w:rsidRDefault="00635E1E" w:rsidP="002E6687">
            <w:pPr>
              <w:pStyle w:val="NoSpacing"/>
              <w:rPr>
                <w:rFonts w:asciiTheme="majorHAnsi" w:hAnsiTheme="majorHAnsi"/>
                <w:sz w:val="14"/>
                <w:szCs w:val="14"/>
              </w:rPr>
            </w:pPr>
            <w:proofErr w:type="gramStart"/>
            <w:r w:rsidRPr="0041175A">
              <w:rPr>
                <w:rFonts w:asciiTheme="majorHAnsi" w:hAnsiTheme="majorHAnsi" w:cs="TT1A7t00"/>
                <w:sz w:val="14"/>
                <w:szCs w:val="14"/>
              </w:rPr>
              <w:t>etc</w:t>
            </w:r>
            <w:proofErr w:type="gramEnd"/>
            <w:r w:rsidRPr="0041175A">
              <w:rPr>
                <w:rFonts w:asciiTheme="majorHAnsi" w:hAnsiTheme="majorHAnsi" w:cs="TT1A7t00"/>
                <w:sz w:val="14"/>
                <w:szCs w:val="14"/>
              </w:rPr>
              <w:t>.)</w:t>
            </w:r>
          </w:p>
        </w:tc>
        <w:tc>
          <w:tcPr>
            <w:tcW w:w="360" w:type="dxa"/>
            <w:vMerge w:val="restart"/>
            <w:shd w:val="clear" w:color="auto" w:fill="auto"/>
          </w:tcPr>
          <w:p w:rsidR="00635E1E" w:rsidRPr="0041175A" w:rsidRDefault="00635E1E" w:rsidP="002E6687">
            <w:pPr>
              <w:pStyle w:val="NoSpacing"/>
              <w:ind w:right="-115"/>
              <w:rPr>
                <w:rFonts w:asciiTheme="majorHAnsi" w:hAnsiTheme="majorHAnsi"/>
                <w:sz w:val="14"/>
                <w:szCs w:val="14"/>
              </w:rPr>
            </w:pPr>
            <w:r w:rsidRPr="0041175A">
              <w:rPr>
                <w:rFonts w:asciiTheme="majorHAnsi" w:hAnsiTheme="majorHAnsi" w:cs="TT1A7t00"/>
                <w:sz w:val="14"/>
                <w:szCs w:val="14"/>
              </w:rPr>
              <w:t>No</w:t>
            </w:r>
          </w:p>
        </w:tc>
        <w:tc>
          <w:tcPr>
            <w:tcW w:w="63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Pre</w:t>
            </w:r>
          </w:p>
          <w:p w:rsidR="00635E1E" w:rsidRPr="0041175A" w:rsidRDefault="00635E1E" w:rsidP="002E6687">
            <w:pPr>
              <w:pStyle w:val="NoSpacing"/>
              <w:ind w:left="-18" w:right="-108"/>
              <w:rPr>
                <w:rFonts w:asciiTheme="majorHAnsi" w:hAnsiTheme="majorHAnsi" w:cs="TT1A7t00"/>
                <w:sz w:val="14"/>
                <w:szCs w:val="14"/>
              </w:rPr>
            </w:pPr>
            <w:r w:rsidRPr="0041175A">
              <w:rPr>
                <w:rFonts w:asciiTheme="majorHAnsi" w:hAnsiTheme="majorHAnsi" w:cs="TT1A7t00"/>
                <w:sz w:val="14"/>
                <w:szCs w:val="14"/>
              </w:rPr>
              <w:t>Trans</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action</w:t>
            </w:r>
          </w:p>
        </w:tc>
        <w:tc>
          <w:tcPr>
            <w:tcW w:w="63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Post</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trans</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action</w:t>
            </w:r>
          </w:p>
        </w:tc>
        <w:tc>
          <w:tcPr>
            <w:tcW w:w="63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From</w:t>
            </w:r>
          </w:p>
        </w:tc>
        <w:tc>
          <w:tcPr>
            <w:tcW w:w="36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To</w:t>
            </w:r>
          </w:p>
        </w:tc>
        <w:tc>
          <w:tcPr>
            <w:tcW w:w="63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1080" w:type="dxa"/>
            <w:gridSpan w:val="2"/>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Buy</w:t>
            </w:r>
          </w:p>
        </w:tc>
        <w:tc>
          <w:tcPr>
            <w:tcW w:w="1080" w:type="dxa"/>
            <w:gridSpan w:val="2"/>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Sell</w:t>
            </w:r>
          </w:p>
        </w:tc>
        <w:tc>
          <w:tcPr>
            <w:tcW w:w="630" w:type="dxa"/>
            <w:vMerge/>
            <w:shd w:val="clear" w:color="auto" w:fill="auto"/>
          </w:tcPr>
          <w:p w:rsidR="00635E1E" w:rsidRPr="0041175A" w:rsidRDefault="00635E1E" w:rsidP="002E6687">
            <w:pPr>
              <w:pStyle w:val="NoSpacing"/>
              <w:rPr>
                <w:rFonts w:asciiTheme="majorHAnsi" w:hAnsiTheme="majorHAnsi"/>
                <w:sz w:val="14"/>
                <w:szCs w:val="14"/>
              </w:rPr>
            </w:pPr>
          </w:p>
        </w:tc>
      </w:tr>
      <w:tr w:rsidR="00635E1E" w:rsidRPr="0041175A" w:rsidTr="002E6687">
        <w:trPr>
          <w:trHeight w:val="1538"/>
        </w:trPr>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36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vMerge/>
            <w:shd w:val="clear" w:color="auto" w:fill="auto"/>
          </w:tcPr>
          <w:p w:rsidR="00635E1E" w:rsidRPr="0041175A" w:rsidRDefault="00635E1E" w:rsidP="002E6687">
            <w:pPr>
              <w:pStyle w:val="NoSpacing"/>
              <w:rPr>
                <w:rFonts w:asciiTheme="majorHAnsi" w:hAnsiTheme="majorHAnsi"/>
                <w:sz w:val="14"/>
                <w:szCs w:val="14"/>
              </w:rPr>
            </w:pPr>
          </w:p>
        </w:tc>
        <w:tc>
          <w:tcPr>
            <w:tcW w:w="360" w:type="dxa"/>
            <w:vMerge/>
            <w:shd w:val="clear" w:color="auto" w:fill="auto"/>
          </w:tcPr>
          <w:p w:rsidR="00635E1E" w:rsidRPr="0041175A" w:rsidRDefault="00635E1E" w:rsidP="002E6687">
            <w:pPr>
              <w:pStyle w:val="NoSpacing"/>
              <w:rPr>
                <w:rFonts w:asciiTheme="majorHAnsi" w:hAnsiTheme="majorHAnsi"/>
                <w:sz w:val="14"/>
                <w:szCs w:val="14"/>
              </w:rPr>
            </w:pPr>
          </w:p>
        </w:tc>
        <w:tc>
          <w:tcPr>
            <w:tcW w:w="63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Value</w:t>
            </w:r>
          </w:p>
        </w:tc>
        <w:tc>
          <w:tcPr>
            <w:tcW w:w="63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Number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units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(contracts*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lot</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size)</w:t>
            </w:r>
          </w:p>
        </w:tc>
        <w:tc>
          <w:tcPr>
            <w:tcW w:w="540" w:type="dxa"/>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Value</w:t>
            </w:r>
          </w:p>
        </w:tc>
        <w:tc>
          <w:tcPr>
            <w:tcW w:w="54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Number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Units (</w:t>
            </w:r>
            <w:proofErr w:type="spellStart"/>
            <w:r w:rsidRPr="0041175A">
              <w:rPr>
                <w:rFonts w:asciiTheme="majorHAnsi" w:hAnsiTheme="majorHAnsi" w:cs="TT1A7t00"/>
                <w:sz w:val="14"/>
                <w:szCs w:val="14"/>
              </w:rPr>
              <w:t>cotr</w:t>
            </w:r>
            <w:proofErr w:type="spellEnd"/>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lot</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size)</w:t>
            </w:r>
          </w:p>
        </w:tc>
        <w:tc>
          <w:tcPr>
            <w:tcW w:w="630" w:type="dxa"/>
            <w:vMerge/>
            <w:shd w:val="clear" w:color="auto" w:fill="auto"/>
          </w:tcPr>
          <w:p w:rsidR="00635E1E" w:rsidRPr="0041175A" w:rsidRDefault="00635E1E" w:rsidP="002E6687">
            <w:pPr>
              <w:pStyle w:val="NoSpacing"/>
              <w:rPr>
                <w:rFonts w:asciiTheme="majorHAnsi" w:hAnsiTheme="majorHAnsi"/>
                <w:sz w:val="14"/>
                <w:szCs w:val="14"/>
              </w:rPr>
            </w:pPr>
          </w:p>
        </w:tc>
      </w:tr>
      <w:tr w:rsidR="00635E1E" w:rsidRPr="0041175A" w:rsidTr="002E6687">
        <w:trPr>
          <w:trHeight w:val="422"/>
        </w:trPr>
        <w:tc>
          <w:tcPr>
            <w:tcW w:w="81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w:t>
            </w:r>
          </w:p>
        </w:tc>
        <w:tc>
          <w:tcPr>
            <w:tcW w:w="81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2</w:t>
            </w:r>
          </w:p>
        </w:tc>
        <w:tc>
          <w:tcPr>
            <w:tcW w:w="900" w:type="dxa"/>
            <w:shd w:val="clear" w:color="auto" w:fill="auto"/>
          </w:tcPr>
          <w:p w:rsidR="00635E1E" w:rsidRPr="0041175A" w:rsidRDefault="00635E1E" w:rsidP="002E6687">
            <w:pPr>
              <w:pStyle w:val="NoSpacing"/>
              <w:jc w:val="center"/>
              <w:rPr>
                <w:rFonts w:asciiTheme="majorHAnsi" w:hAnsiTheme="majorHAnsi" w:cs="TT1A7t00"/>
                <w:sz w:val="14"/>
                <w:szCs w:val="14"/>
              </w:rPr>
            </w:pPr>
            <w:r w:rsidRPr="0041175A">
              <w:rPr>
                <w:rFonts w:asciiTheme="majorHAnsi" w:hAnsiTheme="majorHAnsi" w:cs="TT1A7t00"/>
                <w:sz w:val="14"/>
                <w:szCs w:val="14"/>
              </w:rPr>
              <w:t>3</w:t>
            </w:r>
          </w:p>
        </w:tc>
        <w:tc>
          <w:tcPr>
            <w:tcW w:w="45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4</w:t>
            </w:r>
          </w:p>
        </w:tc>
        <w:tc>
          <w:tcPr>
            <w:tcW w:w="900" w:type="dxa"/>
            <w:shd w:val="clear" w:color="auto" w:fill="auto"/>
          </w:tcPr>
          <w:p w:rsidR="00635E1E" w:rsidRPr="0041175A" w:rsidRDefault="00635E1E" w:rsidP="002E6687">
            <w:pPr>
              <w:pStyle w:val="NoSpacing"/>
              <w:jc w:val="center"/>
              <w:rPr>
                <w:rFonts w:asciiTheme="majorHAnsi" w:hAnsiTheme="majorHAnsi" w:cs="TT1A7t00"/>
                <w:sz w:val="14"/>
                <w:szCs w:val="14"/>
              </w:rPr>
            </w:pPr>
            <w:r w:rsidRPr="0041175A">
              <w:rPr>
                <w:rFonts w:asciiTheme="majorHAnsi" w:hAnsiTheme="majorHAnsi" w:cs="TT1A7t00"/>
                <w:sz w:val="14"/>
                <w:szCs w:val="14"/>
              </w:rPr>
              <w:t>5</w:t>
            </w:r>
          </w:p>
        </w:tc>
        <w:tc>
          <w:tcPr>
            <w:tcW w:w="360" w:type="dxa"/>
            <w:shd w:val="clear" w:color="auto" w:fill="auto"/>
          </w:tcPr>
          <w:p w:rsidR="00635E1E" w:rsidRPr="0041175A" w:rsidRDefault="00635E1E" w:rsidP="002E6687">
            <w:pPr>
              <w:pStyle w:val="NoSpacing"/>
              <w:jc w:val="center"/>
              <w:rPr>
                <w:rFonts w:asciiTheme="majorHAnsi" w:hAnsiTheme="majorHAnsi" w:cs="TT1A7t00"/>
                <w:sz w:val="14"/>
                <w:szCs w:val="14"/>
              </w:rPr>
            </w:pPr>
            <w:r w:rsidRPr="0041175A">
              <w:rPr>
                <w:rFonts w:asciiTheme="majorHAnsi" w:hAnsiTheme="majorHAnsi" w:cs="TT1A7t00"/>
                <w:sz w:val="14"/>
                <w:szCs w:val="14"/>
              </w:rPr>
              <w:t>6</w:t>
            </w:r>
          </w:p>
        </w:tc>
        <w:tc>
          <w:tcPr>
            <w:tcW w:w="630" w:type="dxa"/>
            <w:shd w:val="clear" w:color="auto" w:fill="auto"/>
          </w:tcPr>
          <w:p w:rsidR="00635E1E" w:rsidRPr="0041175A" w:rsidRDefault="00635E1E" w:rsidP="002E6687">
            <w:pPr>
              <w:pStyle w:val="NoSpacing"/>
              <w:jc w:val="center"/>
              <w:rPr>
                <w:rFonts w:asciiTheme="majorHAnsi" w:hAnsiTheme="majorHAnsi" w:cs="TT1A7t00"/>
                <w:sz w:val="14"/>
                <w:szCs w:val="14"/>
              </w:rPr>
            </w:pPr>
            <w:r w:rsidRPr="0041175A">
              <w:rPr>
                <w:rFonts w:asciiTheme="majorHAnsi" w:hAnsiTheme="majorHAnsi" w:cs="TT1A7t00"/>
                <w:sz w:val="14"/>
                <w:szCs w:val="14"/>
              </w:rPr>
              <w:t>7</w:t>
            </w:r>
          </w:p>
        </w:tc>
        <w:tc>
          <w:tcPr>
            <w:tcW w:w="630" w:type="dxa"/>
            <w:shd w:val="clear" w:color="auto" w:fill="auto"/>
          </w:tcPr>
          <w:p w:rsidR="00635E1E" w:rsidRPr="0041175A" w:rsidRDefault="00635E1E" w:rsidP="002E6687">
            <w:pPr>
              <w:pStyle w:val="NoSpacing"/>
              <w:jc w:val="center"/>
              <w:rPr>
                <w:rFonts w:asciiTheme="majorHAnsi" w:hAnsiTheme="majorHAnsi" w:cs="TT1A7t00"/>
                <w:sz w:val="14"/>
                <w:szCs w:val="14"/>
              </w:rPr>
            </w:pPr>
            <w:r w:rsidRPr="0041175A">
              <w:rPr>
                <w:rFonts w:asciiTheme="majorHAnsi" w:hAnsiTheme="majorHAnsi" w:cs="TT1A7t00"/>
                <w:sz w:val="14"/>
                <w:szCs w:val="14"/>
              </w:rPr>
              <w:t>8</w:t>
            </w:r>
          </w:p>
        </w:tc>
        <w:tc>
          <w:tcPr>
            <w:tcW w:w="63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9</w:t>
            </w:r>
          </w:p>
        </w:tc>
        <w:tc>
          <w:tcPr>
            <w:tcW w:w="36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10</w:t>
            </w:r>
          </w:p>
        </w:tc>
        <w:tc>
          <w:tcPr>
            <w:tcW w:w="63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11</w:t>
            </w:r>
          </w:p>
        </w:tc>
        <w:tc>
          <w:tcPr>
            <w:tcW w:w="72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12</w:t>
            </w:r>
          </w:p>
        </w:tc>
        <w:tc>
          <w:tcPr>
            <w:tcW w:w="45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13</w:t>
            </w:r>
          </w:p>
        </w:tc>
        <w:tc>
          <w:tcPr>
            <w:tcW w:w="630" w:type="dxa"/>
            <w:shd w:val="clear" w:color="auto" w:fill="auto"/>
          </w:tcPr>
          <w:p w:rsidR="00635E1E" w:rsidRPr="0041175A" w:rsidRDefault="00635E1E" w:rsidP="002E6687">
            <w:pPr>
              <w:autoSpaceDE w:val="0"/>
              <w:autoSpaceDN w:val="0"/>
              <w:adjustRightInd w:val="0"/>
              <w:jc w:val="center"/>
              <w:rPr>
                <w:rFonts w:asciiTheme="majorHAnsi" w:hAnsiTheme="majorHAnsi" w:cs="TT1A7t00"/>
                <w:sz w:val="14"/>
                <w:szCs w:val="14"/>
              </w:rPr>
            </w:pPr>
            <w:r w:rsidRPr="0041175A">
              <w:rPr>
                <w:rFonts w:asciiTheme="majorHAnsi" w:hAnsiTheme="majorHAnsi" w:cs="TT1A7t00"/>
                <w:sz w:val="14"/>
                <w:szCs w:val="14"/>
              </w:rPr>
              <w:t>14</w:t>
            </w:r>
          </w:p>
        </w:tc>
        <w:tc>
          <w:tcPr>
            <w:tcW w:w="54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15</w:t>
            </w:r>
          </w:p>
        </w:tc>
        <w:tc>
          <w:tcPr>
            <w:tcW w:w="540" w:type="dxa"/>
            <w:shd w:val="clear" w:color="auto" w:fill="auto"/>
          </w:tcPr>
          <w:p w:rsidR="00635E1E" w:rsidRPr="0041175A" w:rsidRDefault="00635E1E" w:rsidP="002E6687">
            <w:pPr>
              <w:autoSpaceDE w:val="0"/>
              <w:autoSpaceDN w:val="0"/>
              <w:adjustRightInd w:val="0"/>
              <w:jc w:val="center"/>
              <w:rPr>
                <w:rFonts w:asciiTheme="majorHAnsi" w:hAnsiTheme="majorHAnsi" w:cs="TT1A7t00"/>
                <w:sz w:val="14"/>
                <w:szCs w:val="14"/>
              </w:rPr>
            </w:pPr>
            <w:r w:rsidRPr="0041175A">
              <w:rPr>
                <w:rFonts w:asciiTheme="majorHAnsi" w:hAnsiTheme="majorHAnsi" w:cs="TT1A7t00"/>
                <w:sz w:val="14"/>
                <w:szCs w:val="14"/>
              </w:rPr>
              <w:t>16</w:t>
            </w:r>
          </w:p>
        </w:tc>
        <w:tc>
          <w:tcPr>
            <w:tcW w:w="630" w:type="dxa"/>
            <w:shd w:val="clear" w:color="auto" w:fill="auto"/>
          </w:tcPr>
          <w:p w:rsidR="00635E1E" w:rsidRPr="0041175A" w:rsidRDefault="00635E1E" w:rsidP="002E6687">
            <w:pPr>
              <w:pStyle w:val="NoSpacing"/>
              <w:jc w:val="center"/>
              <w:rPr>
                <w:rFonts w:asciiTheme="majorHAnsi" w:hAnsiTheme="majorHAnsi"/>
                <w:sz w:val="14"/>
                <w:szCs w:val="14"/>
              </w:rPr>
            </w:pPr>
            <w:r w:rsidRPr="0041175A">
              <w:rPr>
                <w:rFonts w:asciiTheme="majorHAnsi" w:hAnsiTheme="majorHAnsi"/>
                <w:sz w:val="14"/>
                <w:szCs w:val="14"/>
              </w:rPr>
              <w:t>17</w:t>
            </w:r>
          </w:p>
        </w:tc>
      </w:tr>
      <w:tr w:rsidR="00635E1E" w:rsidRPr="0041175A" w:rsidTr="002E6687">
        <w:trPr>
          <w:trHeight w:val="1538"/>
        </w:trPr>
        <w:tc>
          <w:tcPr>
            <w:tcW w:w="810" w:type="dxa"/>
            <w:shd w:val="clear" w:color="auto" w:fill="auto"/>
          </w:tcPr>
          <w:p w:rsidR="00635E1E" w:rsidRPr="0041175A" w:rsidRDefault="00635E1E" w:rsidP="002E6687">
            <w:pPr>
              <w:pStyle w:val="NoSpacing"/>
              <w:rPr>
                <w:rFonts w:asciiTheme="majorHAnsi" w:hAnsiTheme="majorHAnsi"/>
                <w:sz w:val="14"/>
                <w:szCs w:val="14"/>
              </w:rPr>
            </w:pPr>
          </w:p>
        </w:tc>
        <w:tc>
          <w:tcPr>
            <w:tcW w:w="810" w:type="dxa"/>
            <w:shd w:val="clear" w:color="auto" w:fill="auto"/>
          </w:tcPr>
          <w:p w:rsidR="00635E1E" w:rsidRPr="0041175A" w:rsidRDefault="00635E1E" w:rsidP="002E6687">
            <w:pPr>
              <w:pStyle w:val="NoSpacing"/>
              <w:rPr>
                <w:rFonts w:asciiTheme="majorHAnsi" w:hAnsiTheme="majorHAnsi"/>
                <w:sz w:val="14"/>
                <w:szCs w:val="14"/>
              </w:rPr>
            </w:pPr>
          </w:p>
        </w:tc>
        <w:tc>
          <w:tcPr>
            <w:tcW w:w="900" w:type="dxa"/>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900" w:type="dxa"/>
            <w:shd w:val="clear" w:color="auto" w:fill="auto"/>
          </w:tcPr>
          <w:p w:rsidR="00635E1E" w:rsidRPr="0041175A" w:rsidRDefault="00635E1E" w:rsidP="002E6687">
            <w:pPr>
              <w:pStyle w:val="NoSpacing"/>
              <w:rPr>
                <w:rFonts w:asciiTheme="majorHAnsi" w:hAnsiTheme="majorHAnsi" w:cs="TT1A7t00"/>
                <w:sz w:val="14"/>
                <w:szCs w:val="14"/>
              </w:rPr>
            </w:pPr>
          </w:p>
        </w:tc>
        <w:tc>
          <w:tcPr>
            <w:tcW w:w="360" w:type="dxa"/>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sz w:val="14"/>
                <w:szCs w:val="14"/>
              </w:rPr>
            </w:pPr>
          </w:p>
        </w:tc>
        <w:tc>
          <w:tcPr>
            <w:tcW w:w="360" w:type="dxa"/>
            <w:shd w:val="clear" w:color="auto" w:fill="auto"/>
          </w:tcPr>
          <w:p w:rsidR="00635E1E" w:rsidRPr="0041175A" w:rsidRDefault="00635E1E" w:rsidP="002E6687">
            <w:pPr>
              <w:pStyle w:val="NoSpacing"/>
              <w:rPr>
                <w:rFonts w:asciiTheme="majorHAnsi" w:hAnsiTheme="majorHAnsi"/>
                <w:sz w:val="14"/>
                <w:szCs w:val="14"/>
              </w:rPr>
            </w:pPr>
          </w:p>
        </w:tc>
        <w:tc>
          <w:tcPr>
            <w:tcW w:w="630" w:type="dxa"/>
            <w:shd w:val="clear" w:color="auto" w:fill="auto"/>
          </w:tcPr>
          <w:p w:rsidR="00635E1E" w:rsidRPr="0041175A" w:rsidRDefault="00635E1E" w:rsidP="002E6687">
            <w:pPr>
              <w:pStyle w:val="NoSpacing"/>
              <w:rPr>
                <w:rFonts w:asciiTheme="majorHAnsi" w:hAnsiTheme="majorHAnsi"/>
                <w:sz w:val="14"/>
                <w:szCs w:val="14"/>
              </w:rPr>
            </w:pPr>
          </w:p>
        </w:tc>
        <w:tc>
          <w:tcPr>
            <w:tcW w:w="720" w:type="dxa"/>
            <w:shd w:val="clear" w:color="auto" w:fill="auto"/>
          </w:tcPr>
          <w:p w:rsidR="00635E1E" w:rsidRPr="0041175A" w:rsidRDefault="00635E1E" w:rsidP="002E6687">
            <w:pPr>
              <w:pStyle w:val="NoSpacing"/>
              <w:rPr>
                <w:rFonts w:asciiTheme="majorHAnsi" w:hAnsiTheme="majorHAnsi"/>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63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p>
        </w:tc>
        <w:tc>
          <w:tcPr>
            <w:tcW w:w="540" w:type="dxa"/>
            <w:shd w:val="clear" w:color="auto" w:fill="auto"/>
          </w:tcPr>
          <w:p w:rsidR="00635E1E" w:rsidRPr="0041175A" w:rsidRDefault="00635E1E" w:rsidP="002E6687">
            <w:pPr>
              <w:pStyle w:val="NoSpacing"/>
              <w:rPr>
                <w:rFonts w:asciiTheme="majorHAnsi" w:hAnsiTheme="majorHAnsi"/>
                <w:sz w:val="14"/>
                <w:szCs w:val="14"/>
              </w:rPr>
            </w:pPr>
          </w:p>
        </w:tc>
        <w:tc>
          <w:tcPr>
            <w:tcW w:w="54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sz w:val="14"/>
                <w:szCs w:val="14"/>
              </w:rPr>
            </w:pPr>
          </w:p>
        </w:tc>
      </w:tr>
    </w:tbl>
    <w:p w:rsidR="00635E1E" w:rsidRPr="0041175A" w:rsidRDefault="00635E1E" w:rsidP="00635E1E">
      <w:pPr>
        <w:autoSpaceDE w:val="0"/>
        <w:autoSpaceDN w:val="0"/>
        <w:adjustRightInd w:val="0"/>
        <w:rPr>
          <w:rFonts w:asciiTheme="majorHAnsi" w:hAnsiTheme="majorHAnsi" w:cs="TT1A9t00"/>
          <w:b/>
          <w:sz w:val="16"/>
          <w:szCs w:val="16"/>
        </w:rPr>
      </w:pPr>
    </w:p>
    <w:p w:rsidR="00635E1E" w:rsidRPr="0041175A" w:rsidRDefault="00635E1E" w:rsidP="00635E1E">
      <w:pPr>
        <w:autoSpaceDE w:val="0"/>
        <w:autoSpaceDN w:val="0"/>
        <w:adjustRightInd w:val="0"/>
        <w:rPr>
          <w:rFonts w:asciiTheme="majorHAnsi" w:hAnsiTheme="majorHAnsi"/>
          <w:i/>
          <w:iCs/>
          <w:sz w:val="16"/>
          <w:szCs w:val="16"/>
        </w:rPr>
      </w:pPr>
      <w:r w:rsidRPr="0041175A">
        <w:rPr>
          <w:rFonts w:asciiTheme="majorHAnsi" w:hAnsiTheme="majorHAnsi"/>
          <w:b/>
          <w:bCs/>
          <w:i/>
          <w:iCs/>
          <w:sz w:val="16"/>
          <w:szCs w:val="16"/>
        </w:rPr>
        <w:t xml:space="preserve">Note: </w:t>
      </w:r>
      <w:r w:rsidRPr="0041175A">
        <w:rPr>
          <w:rFonts w:asciiTheme="majorHAnsi" w:hAnsiTheme="majorHAnsi"/>
          <w:i/>
          <w:iCs/>
          <w:sz w:val="16"/>
          <w:szCs w:val="16"/>
        </w:rPr>
        <w:t>“Securities” shall have the meaning as defined under regulation 2(1</w:t>
      </w:r>
      <w:proofErr w:type="gramStart"/>
      <w:r w:rsidRPr="0041175A">
        <w:rPr>
          <w:rFonts w:asciiTheme="majorHAnsi" w:hAnsiTheme="majorHAnsi"/>
          <w:i/>
          <w:iCs/>
          <w:sz w:val="16"/>
          <w:szCs w:val="16"/>
        </w:rPr>
        <w:t>)(</w:t>
      </w:r>
      <w:proofErr w:type="gramEnd"/>
      <w:r w:rsidRPr="0041175A">
        <w:rPr>
          <w:rFonts w:asciiTheme="majorHAnsi" w:hAnsiTheme="majorHAnsi"/>
          <w:i/>
          <w:iCs/>
          <w:sz w:val="16"/>
          <w:szCs w:val="16"/>
        </w:rPr>
        <w:t>i) of SEBI (Prohibition of Insider Trading) Regulations, 2015.</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Signature:</w:t>
      </w: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Designation:</w:t>
      </w:r>
    </w:p>
    <w:p w:rsidR="00635E1E" w:rsidRPr="0041175A" w:rsidRDefault="00635E1E" w:rsidP="00635E1E">
      <w:pPr>
        <w:autoSpaceDE w:val="0"/>
        <w:autoSpaceDN w:val="0"/>
        <w:adjustRightInd w:val="0"/>
        <w:rPr>
          <w:rFonts w:asciiTheme="majorHAnsi" w:hAnsiTheme="majorHAnsi"/>
          <w:sz w:val="16"/>
          <w:szCs w:val="16"/>
        </w:rPr>
      </w:pPr>
    </w:p>
    <w:p w:rsidR="00635E1E" w:rsidRPr="0041175A" w:rsidRDefault="00635E1E" w:rsidP="00635E1E">
      <w:pPr>
        <w:autoSpaceDE w:val="0"/>
        <w:autoSpaceDN w:val="0"/>
        <w:adjustRightInd w:val="0"/>
        <w:rPr>
          <w:rFonts w:asciiTheme="majorHAnsi" w:hAnsiTheme="majorHAnsi"/>
          <w:sz w:val="16"/>
          <w:szCs w:val="16"/>
        </w:rPr>
      </w:pPr>
      <w:r w:rsidRPr="0041175A">
        <w:rPr>
          <w:rFonts w:asciiTheme="majorHAnsi" w:hAnsiTheme="majorHAnsi"/>
          <w:sz w:val="16"/>
          <w:szCs w:val="16"/>
        </w:rPr>
        <w:t>Date:</w:t>
      </w:r>
    </w:p>
    <w:p w:rsidR="00635E1E" w:rsidRPr="0041175A" w:rsidRDefault="00635E1E" w:rsidP="00635E1E">
      <w:pPr>
        <w:jc w:val="both"/>
        <w:rPr>
          <w:rFonts w:asciiTheme="majorHAnsi" w:hAnsiTheme="majorHAnsi"/>
        </w:rPr>
      </w:pPr>
      <w:r w:rsidRPr="0041175A">
        <w:rPr>
          <w:rFonts w:asciiTheme="majorHAnsi" w:hAnsiTheme="majorHAnsi"/>
          <w:sz w:val="16"/>
          <w:szCs w:val="16"/>
        </w:rPr>
        <w:t>Place:</w:t>
      </w:r>
    </w:p>
    <w:p w:rsidR="00635E1E" w:rsidRPr="0041175A" w:rsidRDefault="00635E1E" w:rsidP="00635E1E">
      <w:pPr>
        <w:rPr>
          <w:rFonts w:asciiTheme="majorHAnsi" w:hAnsiTheme="majorHAnsi" w:cs="TT1A9t00"/>
          <w:b/>
        </w:rPr>
      </w:pPr>
      <w:r w:rsidRPr="0041175A">
        <w:rPr>
          <w:rFonts w:asciiTheme="majorHAnsi" w:hAnsiTheme="majorHAnsi" w:cs="TT1A9t00"/>
          <w:b/>
        </w:rPr>
        <w:br w:type="page"/>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lastRenderedPageBreak/>
        <w:t>Form I</w:t>
      </w:r>
    </w:p>
    <w:p w:rsidR="00FF32EF" w:rsidRDefault="00FF32EF" w:rsidP="00635E1E">
      <w:pPr>
        <w:autoSpaceDE w:val="0"/>
        <w:autoSpaceDN w:val="0"/>
        <w:adjustRightInd w:val="0"/>
        <w:jc w:val="center"/>
        <w:rPr>
          <w:rFonts w:asciiTheme="majorHAnsi" w:hAnsiTheme="majorHAnsi" w:cs="TT1A9t00"/>
          <w:b/>
        </w:rPr>
      </w:pPr>
      <w:r w:rsidRPr="00FF32EF">
        <w:rPr>
          <w:rFonts w:asciiTheme="majorHAnsi" w:hAnsiTheme="majorHAnsi" w:cs="TT1A9t00"/>
          <w:b/>
        </w:rPr>
        <w:t>Machino Plastics Limited</w:t>
      </w:r>
      <w:r w:rsidRPr="0041175A">
        <w:rPr>
          <w:rFonts w:asciiTheme="majorHAnsi" w:hAnsiTheme="majorHAnsi" w:cs="TT1A9t00"/>
          <w:b/>
        </w:rPr>
        <w:t xml:space="preserve"> </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FORMAT OF APPLICATION FOR OBTAINING PRE-CLEARANCE APPROVAL</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 xml:space="preserve">[Clause 10(3) of </w:t>
      </w:r>
      <w:r w:rsidR="00B734CA" w:rsidRPr="00B734CA">
        <w:rPr>
          <w:rFonts w:asciiTheme="majorHAnsi" w:hAnsiTheme="majorHAnsi" w:cs="TT1A9t00"/>
          <w:b/>
        </w:rPr>
        <w:t>Machino Plastics Limited</w:t>
      </w:r>
      <w:r w:rsidRPr="0041175A">
        <w:rPr>
          <w:rFonts w:asciiTheme="majorHAnsi" w:hAnsiTheme="majorHAnsi" w:cs="TT1A9t00"/>
          <w:b/>
        </w:rPr>
        <w:t>: Code of Conduct to Regulate, Monitor and Report Trading by Insiders]</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9t00"/>
        </w:rPr>
      </w:pPr>
      <w:r w:rsidRPr="0041175A">
        <w:rPr>
          <w:rFonts w:asciiTheme="majorHAnsi" w:hAnsiTheme="majorHAnsi" w:cs="TT1A9t00"/>
        </w:rPr>
        <w:t>Date____</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Compliance Officer,</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Machino Plastics Limited</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3, Maruti Joint Venture Complex,</w:t>
      </w:r>
    </w:p>
    <w:p w:rsidR="00FF32EF" w:rsidRPr="0041175A" w:rsidRDefault="00FF32EF" w:rsidP="00FF32EF">
      <w:pPr>
        <w:autoSpaceDE w:val="0"/>
        <w:autoSpaceDN w:val="0"/>
        <w:adjustRightInd w:val="0"/>
        <w:rPr>
          <w:rFonts w:asciiTheme="majorHAnsi" w:hAnsiTheme="majorHAnsi" w:cs="TT1A7t00"/>
        </w:rPr>
      </w:pPr>
      <w:r>
        <w:rPr>
          <w:rFonts w:asciiTheme="majorHAnsi" w:hAnsiTheme="majorHAnsi" w:cs="TT1A7t00"/>
        </w:rPr>
        <w:t>Gurgaon - 122015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Dear Sir,</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Pursuant to SEBI (Prohibition of Insider Trading) Regulations, 2015 and </w:t>
      </w:r>
      <w:r w:rsidR="00B734CA">
        <w:rPr>
          <w:rFonts w:asciiTheme="majorHAnsi" w:hAnsiTheme="majorHAnsi"/>
        </w:rPr>
        <w:t>Machino Plastics Limited</w:t>
      </w:r>
      <w:r w:rsidR="00B734CA" w:rsidRPr="0041175A">
        <w:rPr>
          <w:rFonts w:asciiTheme="majorHAnsi" w:hAnsiTheme="majorHAnsi" w:cs="TT1A7t00"/>
        </w:rPr>
        <w:t xml:space="preserve"> </w:t>
      </w:r>
      <w:r w:rsidRPr="0041175A">
        <w:rPr>
          <w:rFonts w:asciiTheme="majorHAnsi" w:hAnsiTheme="majorHAnsi" w:cs="TT1A7t00"/>
        </w:rPr>
        <w:t>Code of Conduct to Regulate, Monitor and Report Trading by Insiders, I seek approval to purchase/sale/subscribe for not more than____ securities of the Company (having approximately Market value of Rs.____ as on the date of application) as per the details given below:</w:t>
      </w:r>
    </w:p>
    <w:p w:rsidR="00635E1E" w:rsidRPr="0041175A" w:rsidRDefault="00635E1E" w:rsidP="00635E1E">
      <w:pPr>
        <w:autoSpaceDE w:val="0"/>
        <w:autoSpaceDN w:val="0"/>
        <w:adjustRightInd w:val="0"/>
        <w:jc w:val="both"/>
        <w:rPr>
          <w:rFonts w:asciiTheme="majorHAnsi" w:hAnsiTheme="majorHAnsi" w:cs="TT1A7t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4140"/>
      </w:tblGrid>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1.</w:t>
            </w:r>
          </w:p>
        </w:tc>
        <w:tc>
          <w:tcPr>
            <w:tcW w:w="540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Name of the Designated Person</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2.</w:t>
            </w:r>
          </w:p>
        </w:tc>
        <w:tc>
          <w:tcPr>
            <w:tcW w:w="540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Designation</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3.</w:t>
            </w:r>
          </w:p>
        </w:tc>
        <w:tc>
          <w:tcPr>
            <w:tcW w:w="540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Number of securities held as on date</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4.</w:t>
            </w:r>
          </w:p>
        </w:tc>
        <w:tc>
          <w:tcPr>
            <w:tcW w:w="540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Folio No./DP ID/Client ID</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5.</w:t>
            </w:r>
          </w:p>
        </w:tc>
        <w:tc>
          <w:tcPr>
            <w:tcW w:w="540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Estimated number of securities proposed to</w:t>
            </w:r>
          </w:p>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purchase/sale/subscribe</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6.</w:t>
            </w:r>
          </w:p>
        </w:tc>
        <w:tc>
          <w:tcPr>
            <w:tcW w:w="540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Estimated price at which the transaction is proposed be</w:t>
            </w:r>
          </w:p>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executed</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7.</w:t>
            </w:r>
          </w:p>
        </w:tc>
        <w:tc>
          <w:tcPr>
            <w:tcW w:w="540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Whether the transaction would be through Stock</w:t>
            </w:r>
          </w:p>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Exchange or off-market deal</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r w:rsidR="00635E1E" w:rsidRPr="0041175A" w:rsidTr="002E6687">
        <w:tc>
          <w:tcPr>
            <w:tcW w:w="5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8.</w:t>
            </w:r>
          </w:p>
        </w:tc>
        <w:tc>
          <w:tcPr>
            <w:tcW w:w="540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In case of Off-market deal, Folio no./DP ID/Client ID</w:t>
            </w:r>
          </w:p>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where the securities will be credited</w:t>
            </w:r>
          </w:p>
        </w:tc>
        <w:tc>
          <w:tcPr>
            <w:tcW w:w="414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r>
    </w:tbl>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Yours truly,</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(Signature of the Designated Person)</w:t>
      </w:r>
    </w:p>
    <w:p w:rsidR="00635E1E" w:rsidRPr="0041175A" w:rsidRDefault="00635E1E" w:rsidP="00635E1E">
      <w:pPr>
        <w:tabs>
          <w:tab w:val="left" w:pos="3825"/>
        </w:tabs>
        <w:autoSpaceDE w:val="0"/>
        <w:autoSpaceDN w:val="0"/>
        <w:adjustRightInd w:val="0"/>
        <w:jc w:val="both"/>
        <w:rPr>
          <w:rFonts w:asciiTheme="majorHAnsi" w:hAnsiTheme="majorHAnsi" w:cs="TT1A7t00"/>
        </w:rPr>
      </w:pPr>
      <w:r w:rsidRPr="0041175A">
        <w:rPr>
          <w:rFonts w:asciiTheme="majorHAnsi" w:hAnsiTheme="majorHAnsi" w:cs="TT1A7t00"/>
        </w:rPr>
        <w:t>(Name of the Designated Person)</w:t>
      </w:r>
      <w:r w:rsidRPr="0041175A">
        <w:rPr>
          <w:rFonts w:asciiTheme="majorHAnsi" w:hAnsiTheme="majorHAnsi" w:cs="TT1A7t00"/>
        </w:rPr>
        <w:tab/>
      </w:r>
    </w:p>
    <w:p w:rsidR="00635E1E" w:rsidRPr="0041175A" w:rsidRDefault="00635E1E" w:rsidP="00635E1E">
      <w:pPr>
        <w:rPr>
          <w:rFonts w:asciiTheme="majorHAnsi" w:hAnsiTheme="majorHAnsi" w:cs="TT1A7t00"/>
        </w:rPr>
      </w:pPr>
      <w:r w:rsidRPr="0041175A">
        <w:rPr>
          <w:rFonts w:asciiTheme="majorHAnsi" w:hAnsiTheme="majorHAnsi" w:cs="TT1A7t00"/>
        </w:rPr>
        <w:br w:type="page"/>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lastRenderedPageBreak/>
        <w:t>FORMAT OF UNDERTAKING TO BE ACCOMPANIED WITH THE APPLICATION FOR OBTAINING</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PRE-CLEARANCE APPROVAL</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tabs>
          <w:tab w:val="left" w:pos="3825"/>
        </w:tabs>
        <w:autoSpaceDE w:val="0"/>
        <w:autoSpaceDN w:val="0"/>
        <w:adjustRightInd w:val="0"/>
        <w:jc w:val="center"/>
        <w:rPr>
          <w:rFonts w:asciiTheme="majorHAnsi" w:hAnsiTheme="majorHAnsi" w:cs="TT1A9t00"/>
          <w:b/>
        </w:rPr>
      </w:pPr>
      <w:r w:rsidRPr="0041175A">
        <w:rPr>
          <w:rFonts w:asciiTheme="majorHAnsi" w:hAnsiTheme="majorHAnsi" w:cs="TT1A9t00"/>
          <w:b/>
        </w:rPr>
        <w:t>UNDERTAKING</w:t>
      </w:r>
    </w:p>
    <w:p w:rsidR="00635E1E" w:rsidRPr="0041175A" w:rsidRDefault="00635E1E" w:rsidP="00635E1E">
      <w:pPr>
        <w:tabs>
          <w:tab w:val="left" w:pos="3825"/>
        </w:tabs>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rPr>
          <w:rFonts w:asciiTheme="majorHAnsi" w:hAnsiTheme="majorHAnsi" w:cs="TT1A9t00"/>
        </w:rPr>
      </w:pPr>
      <w:r w:rsidRPr="0041175A">
        <w:rPr>
          <w:rFonts w:asciiTheme="majorHAnsi" w:hAnsiTheme="majorHAnsi" w:cs="TT1A9t00"/>
        </w:rPr>
        <w:t>Date____</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Compliance Officer,</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Machino Plastics Limited</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3, Maruti Joint Venture Complex,</w:t>
      </w:r>
    </w:p>
    <w:p w:rsidR="00FF32EF" w:rsidRPr="0041175A" w:rsidRDefault="00FF32EF" w:rsidP="00FF32EF">
      <w:pPr>
        <w:autoSpaceDE w:val="0"/>
        <w:autoSpaceDN w:val="0"/>
        <w:adjustRightInd w:val="0"/>
        <w:rPr>
          <w:rFonts w:asciiTheme="majorHAnsi" w:hAnsiTheme="majorHAnsi" w:cs="TT1A7t00"/>
        </w:rPr>
      </w:pPr>
      <w:r>
        <w:rPr>
          <w:rFonts w:asciiTheme="majorHAnsi" w:hAnsiTheme="majorHAnsi" w:cs="TT1A7t00"/>
        </w:rPr>
        <w:t>Gurgaon - 122015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Dear Sir,</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I, ……………………………………(name of the Designated Person),…………………(designation) of the Company residing at ………………………………………(address of the Designated Person) hereby declare that I am not in possession of any Unpublished Price Sensitive Information (as defined in the </w:t>
      </w:r>
      <w:r w:rsidR="00B734CA">
        <w:rPr>
          <w:rFonts w:asciiTheme="majorHAnsi" w:hAnsiTheme="majorHAnsi"/>
        </w:rPr>
        <w:t>Machino Plastics Limited</w:t>
      </w:r>
      <w:r w:rsidR="00B734CA" w:rsidRPr="0041175A">
        <w:rPr>
          <w:rFonts w:asciiTheme="majorHAnsi" w:hAnsiTheme="majorHAnsi" w:cs="TT1A7t00"/>
        </w:rPr>
        <w:t xml:space="preserve"> </w:t>
      </w:r>
      <w:r w:rsidRPr="0041175A">
        <w:rPr>
          <w:rFonts w:asciiTheme="majorHAnsi" w:hAnsiTheme="majorHAnsi" w:cs="TT1A7t00"/>
        </w:rPr>
        <w:t xml:space="preserve">Code of Conduct to Regulate, Monitor and Report Trading by Insiders) </w:t>
      </w:r>
      <w:proofErr w:type="spellStart"/>
      <w:r w:rsidRPr="0041175A">
        <w:rPr>
          <w:rFonts w:asciiTheme="majorHAnsi" w:hAnsiTheme="majorHAnsi" w:cs="TT1A7t00"/>
        </w:rPr>
        <w:t>upto</w:t>
      </w:r>
      <w:proofErr w:type="spellEnd"/>
      <w:r w:rsidRPr="0041175A">
        <w:rPr>
          <w:rFonts w:asciiTheme="majorHAnsi" w:hAnsiTheme="majorHAnsi" w:cs="TT1A7t00"/>
        </w:rPr>
        <w:t xml:space="preserve"> the date of signing of this Undertaking.</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I further declare that in case I have access to any Unpublished Price Sensitive Information after the signing of Undertaking and before the execution of Trade for which Pre-clearance is requested in </w:t>
      </w:r>
      <w:r w:rsidRPr="0041175A">
        <w:rPr>
          <w:rFonts w:asciiTheme="majorHAnsi" w:hAnsiTheme="majorHAnsi" w:cs="TT1A9t00"/>
          <w:b/>
        </w:rPr>
        <w:t>Form I</w:t>
      </w:r>
      <w:r w:rsidRPr="0041175A">
        <w:rPr>
          <w:rFonts w:asciiTheme="majorHAnsi" w:hAnsiTheme="majorHAnsi" w:cs="TT1A9t00"/>
        </w:rPr>
        <w:t xml:space="preserve"> </w:t>
      </w:r>
      <w:r w:rsidRPr="0041175A">
        <w:rPr>
          <w:rFonts w:asciiTheme="majorHAnsi" w:hAnsiTheme="majorHAnsi" w:cs="TT1A7t00"/>
        </w:rPr>
        <w:t>(enclosed), I shall:</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pStyle w:val="ListParagraph"/>
        <w:numPr>
          <w:ilvl w:val="0"/>
          <w:numId w:val="28"/>
        </w:numPr>
        <w:autoSpaceDE w:val="0"/>
        <w:autoSpaceDN w:val="0"/>
        <w:adjustRightInd w:val="0"/>
        <w:ind w:left="450" w:hanging="450"/>
        <w:jc w:val="both"/>
        <w:rPr>
          <w:rFonts w:asciiTheme="majorHAnsi" w:hAnsiTheme="majorHAnsi" w:cs="TT1A7t00"/>
        </w:rPr>
      </w:pPr>
      <w:r w:rsidRPr="0041175A">
        <w:rPr>
          <w:rFonts w:asciiTheme="majorHAnsi" w:hAnsiTheme="majorHAnsi" w:cs="TT1A7t00"/>
        </w:rPr>
        <w:t>Promptly inform the Compliance Officer</w:t>
      </w:r>
    </w:p>
    <w:p w:rsidR="00635E1E" w:rsidRPr="0041175A" w:rsidRDefault="00635E1E" w:rsidP="00635E1E">
      <w:pPr>
        <w:pStyle w:val="ListParagraph"/>
        <w:numPr>
          <w:ilvl w:val="0"/>
          <w:numId w:val="28"/>
        </w:numPr>
        <w:autoSpaceDE w:val="0"/>
        <w:autoSpaceDN w:val="0"/>
        <w:adjustRightInd w:val="0"/>
        <w:ind w:left="450" w:hanging="450"/>
        <w:jc w:val="both"/>
        <w:rPr>
          <w:rFonts w:asciiTheme="majorHAnsi" w:hAnsiTheme="majorHAnsi" w:cs="TT1A7t00"/>
        </w:rPr>
      </w:pPr>
      <w:r w:rsidRPr="0041175A">
        <w:rPr>
          <w:rFonts w:asciiTheme="majorHAnsi" w:hAnsiTheme="majorHAnsi" w:cs="TT1A7t00"/>
        </w:rPr>
        <w:t>Refrain from trading in securities of the Company.</w:t>
      </w:r>
    </w:p>
    <w:p w:rsidR="00635E1E" w:rsidRPr="0041175A" w:rsidRDefault="00635E1E" w:rsidP="00635E1E">
      <w:pPr>
        <w:pStyle w:val="ListParagraph"/>
        <w:numPr>
          <w:ilvl w:val="0"/>
          <w:numId w:val="28"/>
        </w:numPr>
        <w:autoSpaceDE w:val="0"/>
        <w:autoSpaceDN w:val="0"/>
        <w:adjustRightInd w:val="0"/>
        <w:ind w:left="450" w:hanging="450"/>
        <w:jc w:val="both"/>
        <w:rPr>
          <w:rFonts w:asciiTheme="majorHAnsi" w:hAnsiTheme="majorHAnsi" w:cs="TT1A7t00"/>
        </w:rPr>
      </w:pPr>
      <w:r w:rsidRPr="0041175A">
        <w:rPr>
          <w:rFonts w:asciiTheme="majorHAnsi" w:hAnsiTheme="majorHAnsi" w:cs="TT1A7t00"/>
        </w:rPr>
        <w:t>Apply afresh for obtaining pre-clearance approval from the Compliance Officer of the Company in</w:t>
      </w:r>
    </w:p>
    <w:p w:rsidR="00635E1E" w:rsidRPr="0041175A" w:rsidRDefault="00635E1E" w:rsidP="00635E1E">
      <w:pPr>
        <w:pStyle w:val="ListParagraph"/>
        <w:numPr>
          <w:ilvl w:val="0"/>
          <w:numId w:val="28"/>
        </w:numPr>
        <w:autoSpaceDE w:val="0"/>
        <w:autoSpaceDN w:val="0"/>
        <w:adjustRightInd w:val="0"/>
        <w:ind w:left="450" w:hanging="450"/>
        <w:jc w:val="both"/>
        <w:rPr>
          <w:rFonts w:asciiTheme="majorHAnsi" w:hAnsiTheme="majorHAnsi" w:cs="TT1A7t00"/>
        </w:rPr>
      </w:pPr>
      <w:r w:rsidRPr="0041175A">
        <w:rPr>
          <w:rFonts w:asciiTheme="majorHAnsi" w:hAnsiTheme="majorHAnsi" w:cs="TT1A9t00"/>
          <w:b/>
        </w:rPr>
        <w:t xml:space="preserve">Form </w:t>
      </w:r>
      <w:proofErr w:type="gramStart"/>
      <w:r w:rsidRPr="0041175A">
        <w:rPr>
          <w:rFonts w:asciiTheme="majorHAnsi" w:hAnsiTheme="majorHAnsi" w:cs="TT1A9t00"/>
          <w:b/>
        </w:rPr>
        <w:t>I</w:t>
      </w:r>
      <w:proofErr w:type="gramEnd"/>
      <w:r w:rsidRPr="0041175A">
        <w:rPr>
          <w:rFonts w:asciiTheme="majorHAnsi" w:hAnsiTheme="majorHAnsi" w:cs="TT1A9t00"/>
        </w:rPr>
        <w:t xml:space="preserve"> </w:t>
      </w:r>
      <w:r w:rsidRPr="0041175A">
        <w:rPr>
          <w:rFonts w:asciiTheme="majorHAnsi" w:hAnsiTheme="majorHAnsi" w:cs="TT1A7t00"/>
        </w:rPr>
        <w:t>only after 2 days of such Unpublished Price Sensitive Information becoming public.</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Upon obtaining preclearance for trading in securities of the Company, I undertake to execute the transaction within seven (7) trading days failing which I shall seek pre-clearance again. </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 undertake to submit Form II within 4 working days of execution of the transaction/ a NIL report in case the transaction is not executed.</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 declare that I have made true and complete disclosure in the matter.</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Yours truly,</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(Signature of the Designated Person)</w:t>
      </w:r>
    </w:p>
    <w:p w:rsidR="00635E1E" w:rsidRPr="0041175A" w:rsidRDefault="00635E1E" w:rsidP="00635E1E">
      <w:pPr>
        <w:tabs>
          <w:tab w:val="left" w:pos="3825"/>
        </w:tabs>
        <w:autoSpaceDE w:val="0"/>
        <w:autoSpaceDN w:val="0"/>
        <w:adjustRightInd w:val="0"/>
        <w:jc w:val="both"/>
        <w:rPr>
          <w:rFonts w:asciiTheme="majorHAnsi" w:hAnsiTheme="majorHAnsi" w:cs="TT1A7t00"/>
        </w:rPr>
      </w:pPr>
      <w:r w:rsidRPr="0041175A">
        <w:rPr>
          <w:rFonts w:asciiTheme="majorHAnsi" w:hAnsiTheme="majorHAnsi" w:cs="TT1A7t00"/>
        </w:rPr>
        <w:t>(Name of the Designated Person)</w:t>
      </w:r>
      <w:r w:rsidRPr="0041175A">
        <w:rPr>
          <w:rFonts w:asciiTheme="majorHAnsi" w:hAnsiTheme="majorHAnsi" w:cs="TT1A7t00"/>
        </w:rPr>
        <w:tab/>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rPr>
          <w:rFonts w:asciiTheme="majorHAnsi" w:hAnsiTheme="majorHAnsi" w:cs="TT1A7t00"/>
        </w:rPr>
      </w:pPr>
      <w:r w:rsidRPr="0041175A">
        <w:rPr>
          <w:rFonts w:asciiTheme="majorHAnsi" w:hAnsiTheme="majorHAnsi" w:cs="TT1A7t00"/>
        </w:rPr>
        <w:br w:type="page"/>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lastRenderedPageBreak/>
        <w:t>Form II</w:t>
      </w:r>
    </w:p>
    <w:p w:rsidR="00FF32EF" w:rsidRDefault="00FF32EF" w:rsidP="00FF32EF">
      <w:pPr>
        <w:autoSpaceDE w:val="0"/>
        <w:autoSpaceDN w:val="0"/>
        <w:adjustRightInd w:val="0"/>
        <w:jc w:val="center"/>
        <w:rPr>
          <w:rFonts w:asciiTheme="majorHAnsi" w:hAnsiTheme="majorHAnsi" w:cs="TT1A9t00"/>
          <w:b/>
        </w:rPr>
      </w:pPr>
      <w:r w:rsidRPr="00FF32EF">
        <w:rPr>
          <w:rFonts w:asciiTheme="majorHAnsi" w:hAnsiTheme="majorHAnsi" w:cs="TT1A9t00"/>
          <w:b/>
        </w:rPr>
        <w:t>Machino Plastics Limited</w:t>
      </w:r>
      <w:r w:rsidRPr="0041175A">
        <w:rPr>
          <w:rFonts w:asciiTheme="majorHAnsi" w:hAnsiTheme="majorHAnsi" w:cs="TT1A9t00"/>
          <w:b/>
        </w:rPr>
        <w:t xml:space="preserve"> </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FORMAT FOR DISCLOSURE OF TRANSACTIONS EXECUTED/NOT EXECUTED AFTER OBTAINING</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PRE-CLEARANCE</w:t>
      </w:r>
    </w:p>
    <w:p w:rsidR="00635E1E" w:rsidRPr="0041175A"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 xml:space="preserve">[Clause 10(6) of </w:t>
      </w:r>
      <w:r w:rsidR="00FF32EF" w:rsidRPr="00FF32EF">
        <w:rPr>
          <w:rFonts w:asciiTheme="majorHAnsi" w:hAnsiTheme="majorHAnsi" w:cs="TT1A9t00"/>
          <w:b/>
        </w:rPr>
        <w:t xml:space="preserve">Machino Plastics </w:t>
      </w:r>
      <w:proofErr w:type="gramStart"/>
      <w:r w:rsidR="00FF32EF" w:rsidRPr="00FF32EF">
        <w:rPr>
          <w:rFonts w:asciiTheme="majorHAnsi" w:hAnsiTheme="majorHAnsi" w:cs="TT1A9t00"/>
          <w:b/>
        </w:rPr>
        <w:t>Limited</w:t>
      </w:r>
      <w:r w:rsidR="00FF32EF">
        <w:rPr>
          <w:rFonts w:asciiTheme="majorHAnsi" w:hAnsiTheme="majorHAnsi" w:cs="TT1A9t00"/>
          <w:b/>
        </w:rPr>
        <w:t xml:space="preserve"> </w:t>
      </w:r>
      <w:r w:rsidRPr="0041175A">
        <w:rPr>
          <w:rFonts w:asciiTheme="majorHAnsi" w:hAnsiTheme="majorHAnsi" w:cs="TT1A9t00"/>
          <w:b/>
        </w:rPr>
        <w:t>:</w:t>
      </w:r>
      <w:proofErr w:type="gramEnd"/>
      <w:r w:rsidRPr="0041175A">
        <w:rPr>
          <w:rFonts w:asciiTheme="majorHAnsi" w:hAnsiTheme="majorHAnsi" w:cs="TT1A9t00"/>
          <w:b/>
        </w:rPr>
        <w:t xml:space="preserve"> Code of Conduct to Regulate, Monitor and Report</w:t>
      </w:r>
    </w:p>
    <w:p w:rsidR="00635E1E" w:rsidRPr="0041175A"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Trading by Insiders]</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rPr>
          <w:rFonts w:asciiTheme="majorHAnsi" w:hAnsiTheme="majorHAnsi" w:cs="TT1A9t00"/>
        </w:rPr>
      </w:pPr>
      <w:r w:rsidRPr="0041175A">
        <w:rPr>
          <w:rFonts w:asciiTheme="majorHAnsi" w:hAnsiTheme="majorHAnsi" w:cs="TT1A9t00"/>
        </w:rPr>
        <w:t>Date____</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Compliance Officer,</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Machino Plastics Limited</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3, Maruti Joint Venture Complex,</w:t>
      </w:r>
    </w:p>
    <w:p w:rsidR="00FF32EF" w:rsidRPr="0041175A" w:rsidRDefault="00FF32EF" w:rsidP="00FF32EF">
      <w:pPr>
        <w:autoSpaceDE w:val="0"/>
        <w:autoSpaceDN w:val="0"/>
        <w:adjustRightInd w:val="0"/>
        <w:rPr>
          <w:rFonts w:asciiTheme="majorHAnsi" w:hAnsiTheme="majorHAnsi" w:cs="TT1A7t00"/>
        </w:rPr>
      </w:pPr>
      <w:r>
        <w:rPr>
          <w:rFonts w:asciiTheme="majorHAnsi" w:hAnsiTheme="majorHAnsi" w:cs="TT1A7t00"/>
        </w:rPr>
        <w:t>Gurgaon - 122015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Dear Sir,</w:t>
      </w:r>
    </w:p>
    <w:p w:rsidR="00635E1E" w:rsidRPr="0041175A" w:rsidRDefault="00635E1E" w:rsidP="00635E1E">
      <w:pPr>
        <w:autoSpaceDE w:val="0"/>
        <w:autoSpaceDN w:val="0"/>
        <w:adjustRightInd w:val="0"/>
        <w:jc w:val="center"/>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With reference to trading approval granted by the Company to me on ____, I hereby inform that I have bought/sold/subscribed for _____ equity shares of the Company for Rs.____ on _____. </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In connection with the aforesaid transaction, please find enclosed copy of the following for your</w:t>
      </w:r>
    </w:p>
    <w:p w:rsidR="00635E1E" w:rsidRPr="0041175A" w:rsidRDefault="00635E1E" w:rsidP="00635E1E">
      <w:pPr>
        <w:autoSpaceDE w:val="0"/>
        <w:autoSpaceDN w:val="0"/>
        <w:adjustRightInd w:val="0"/>
        <w:jc w:val="both"/>
        <w:rPr>
          <w:rFonts w:asciiTheme="majorHAnsi" w:hAnsiTheme="majorHAnsi" w:cs="TT1A7t00"/>
        </w:rPr>
      </w:pPr>
      <w:proofErr w:type="gramStart"/>
      <w:r w:rsidRPr="0041175A">
        <w:rPr>
          <w:rFonts w:asciiTheme="majorHAnsi" w:hAnsiTheme="majorHAnsi" w:cs="TT1A7t00"/>
        </w:rPr>
        <w:t>records</w:t>
      </w:r>
      <w:proofErr w:type="gramEnd"/>
      <w:r w:rsidRPr="0041175A">
        <w:rPr>
          <w:rFonts w:asciiTheme="majorHAnsi" w:hAnsiTheme="majorHAnsi" w:cs="TT1A7t00"/>
        </w:rPr>
        <w:t>:</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Broker’s contract note</w:t>
      </w:r>
      <w:r w:rsidRPr="0041175A">
        <w:rPr>
          <w:rFonts w:asciiTheme="majorHAnsi" w:hAnsiTheme="majorHAnsi" w:cs="TT1A9t00"/>
        </w:rPr>
        <w:t>/</w:t>
      </w:r>
      <w:r w:rsidRPr="0041175A">
        <w:rPr>
          <w:rFonts w:asciiTheme="majorHAnsi" w:hAnsiTheme="majorHAnsi" w:cs="TT1A7t00"/>
        </w:rPr>
        <w:t>Proof of payment to/from brokers</w:t>
      </w:r>
      <w:r w:rsidRPr="0041175A">
        <w:rPr>
          <w:rFonts w:asciiTheme="majorHAnsi" w:hAnsiTheme="majorHAnsi" w:cs="TT1A9t00"/>
        </w:rPr>
        <w:t xml:space="preserve">/ </w:t>
      </w:r>
      <w:r w:rsidRPr="0041175A">
        <w:rPr>
          <w:rFonts w:asciiTheme="majorHAnsi" w:hAnsiTheme="majorHAnsi" w:cs="TT1A7t00"/>
        </w:rPr>
        <w:t>Extract of bank passbook/statements (in case of demat transaction)</w:t>
      </w:r>
      <w:r w:rsidRPr="0041175A">
        <w:rPr>
          <w:rFonts w:asciiTheme="majorHAnsi" w:hAnsiTheme="majorHAnsi" w:cs="TT1A9t00"/>
        </w:rPr>
        <w:t xml:space="preserve">/ </w:t>
      </w:r>
      <w:r w:rsidRPr="0041175A">
        <w:rPr>
          <w:rFonts w:asciiTheme="majorHAnsi" w:hAnsiTheme="majorHAnsi" w:cs="TT1A7t00"/>
        </w:rPr>
        <w:t>Copy of Delivery instruction slips (applicable in case of sale transactions).</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9t00"/>
        </w:rPr>
      </w:pPr>
      <w:r w:rsidRPr="0041175A">
        <w:rPr>
          <w:rFonts w:asciiTheme="majorHAnsi" w:hAnsiTheme="majorHAnsi" w:cs="TT1A7t00"/>
        </w:rPr>
        <w:t xml:space="preserve">I hereby undertake to preserve the original copy of the above mentioned document for a </w:t>
      </w:r>
      <w:r w:rsidRPr="0041175A">
        <w:rPr>
          <w:rFonts w:asciiTheme="majorHAnsi" w:hAnsiTheme="majorHAnsi" w:cs="TT1A9t00"/>
        </w:rPr>
        <w:t>period of 5 years</w:t>
      </w:r>
      <w:r w:rsidRPr="0041175A">
        <w:rPr>
          <w:rFonts w:asciiTheme="majorHAnsi" w:hAnsiTheme="majorHAnsi" w:cs="TT1A7t00"/>
        </w:rPr>
        <w:t>) and produce to the Compliance Officer/Securities Exchange Board of India, if required in</w:t>
      </w:r>
      <w:r w:rsidRPr="0041175A">
        <w:rPr>
          <w:rFonts w:asciiTheme="majorHAnsi" w:hAnsiTheme="majorHAnsi" w:cs="TT1A9t00"/>
        </w:rPr>
        <w:t xml:space="preserve"> </w:t>
      </w:r>
      <w:r w:rsidRPr="0041175A">
        <w:rPr>
          <w:rFonts w:asciiTheme="majorHAnsi" w:hAnsiTheme="majorHAnsi" w:cs="TT1A7t00"/>
        </w:rPr>
        <w:t>future.</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center"/>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Yours truly,</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(Signature of the Designated Person)</w:t>
      </w:r>
    </w:p>
    <w:p w:rsidR="00635E1E" w:rsidRPr="0041175A" w:rsidRDefault="00635E1E" w:rsidP="00635E1E">
      <w:pPr>
        <w:tabs>
          <w:tab w:val="left" w:pos="3825"/>
        </w:tabs>
        <w:autoSpaceDE w:val="0"/>
        <w:autoSpaceDN w:val="0"/>
        <w:adjustRightInd w:val="0"/>
        <w:jc w:val="both"/>
        <w:rPr>
          <w:rFonts w:asciiTheme="majorHAnsi" w:hAnsiTheme="majorHAnsi" w:cs="TT1A7t00"/>
        </w:rPr>
      </w:pPr>
      <w:r w:rsidRPr="0041175A">
        <w:rPr>
          <w:rFonts w:asciiTheme="majorHAnsi" w:hAnsiTheme="majorHAnsi" w:cs="TT1A7t00"/>
        </w:rPr>
        <w:t>(Name of the Designated Person)</w:t>
      </w:r>
      <w:r w:rsidRPr="0041175A">
        <w:rPr>
          <w:rFonts w:asciiTheme="majorHAnsi" w:hAnsiTheme="majorHAnsi" w:cs="TT1A7t00"/>
        </w:rPr>
        <w:tab/>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i/>
        </w:rPr>
      </w:pPr>
      <w:r w:rsidRPr="0041175A">
        <w:rPr>
          <w:rFonts w:asciiTheme="majorHAnsi" w:hAnsiTheme="majorHAnsi" w:cs="TT1A9t00"/>
          <w:b/>
          <w:i/>
        </w:rPr>
        <w:t>Note:</w:t>
      </w:r>
      <w:r w:rsidRPr="0041175A">
        <w:rPr>
          <w:rFonts w:asciiTheme="majorHAnsi" w:hAnsiTheme="majorHAnsi" w:cs="TT1A9t00"/>
          <w:i/>
        </w:rPr>
        <w:t xml:space="preserve"> </w:t>
      </w:r>
      <w:r w:rsidRPr="0041175A">
        <w:rPr>
          <w:rFonts w:asciiTheme="majorHAnsi" w:hAnsiTheme="majorHAnsi" w:cs="TT1A7t00"/>
          <w:i/>
        </w:rPr>
        <w:t>After pre-clearance, if the Designated Person opts not to trade in securities should provide the reasons for taking such decision.</w:t>
      </w:r>
    </w:p>
    <w:p w:rsidR="00635E1E" w:rsidRPr="0041175A" w:rsidRDefault="00635E1E" w:rsidP="00635E1E">
      <w:pPr>
        <w:autoSpaceDE w:val="0"/>
        <w:autoSpaceDN w:val="0"/>
        <w:adjustRightInd w:val="0"/>
        <w:jc w:val="center"/>
        <w:rPr>
          <w:rFonts w:asciiTheme="majorHAnsi" w:hAnsiTheme="majorHAnsi" w:cs="TT1A7t00"/>
        </w:rPr>
      </w:pPr>
    </w:p>
    <w:p w:rsidR="00635E1E" w:rsidRPr="0041175A" w:rsidRDefault="00635E1E" w:rsidP="00635E1E">
      <w:pPr>
        <w:rPr>
          <w:rFonts w:asciiTheme="majorHAnsi" w:hAnsiTheme="majorHAnsi" w:cs="TT1A7t00"/>
        </w:rPr>
      </w:pPr>
      <w:r w:rsidRPr="0041175A">
        <w:rPr>
          <w:rFonts w:asciiTheme="majorHAnsi" w:hAnsiTheme="majorHAnsi" w:cs="TT1A7t00"/>
        </w:rPr>
        <w:br w:type="page"/>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lastRenderedPageBreak/>
        <w:t>Form III</w:t>
      </w:r>
    </w:p>
    <w:p w:rsidR="00FF32EF" w:rsidRDefault="00FF32EF" w:rsidP="00FF32EF">
      <w:pPr>
        <w:autoSpaceDE w:val="0"/>
        <w:autoSpaceDN w:val="0"/>
        <w:adjustRightInd w:val="0"/>
        <w:jc w:val="center"/>
        <w:rPr>
          <w:rFonts w:asciiTheme="majorHAnsi" w:hAnsiTheme="majorHAnsi" w:cs="TT1A9t00"/>
          <w:b/>
        </w:rPr>
      </w:pPr>
      <w:r w:rsidRPr="00FF32EF">
        <w:rPr>
          <w:rFonts w:asciiTheme="majorHAnsi" w:hAnsiTheme="majorHAnsi" w:cs="TT1A9t00"/>
          <w:b/>
        </w:rPr>
        <w:t>Machino Plastics Limited</w:t>
      </w:r>
      <w:r w:rsidRPr="0041175A">
        <w:rPr>
          <w:rFonts w:asciiTheme="majorHAnsi" w:hAnsiTheme="majorHAnsi" w:cs="TT1A9t00"/>
          <w:b/>
        </w:rPr>
        <w:t xml:space="preserve"> </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APPLICATION FOR WAIVER OF MINIMUM HOLDING PERIOD</w:t>
      </w:r>
    </w:p>
    <w:p w:rsidR="00635E1E" w:rsidRPr="0041175A"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 xml:space="preserve">[Clause 10(6) of </w:t>
      </w:r>
      <w:r w:rsidR="00FF32EF" w:rsidRPr="00FF32EF">
        <w:rPr>
          <w:rFonts w:asciiTheme="majorHAnsi" w:hAnsiTheme="majorHAnsi" w:cs="TT1A9t00"/>
          <w:b/>
        </w:rPr>
        <w:t>Machino Plastics Limited</w:t>
      </w:r>
      <w:r w:rsidRPr="0041175A">
        <w:rPr>
          <w:rFonts w:asciiTheme="majorHAnsi" w:hAnsiTheme="majorHAnsi" w:cs="TT1A9t00"/>
          <w:b/>
        </w:rPr>
        <w:t>: Code of Conduct to Regulate, Monitor and Report</w:t>
      </w:r>
    </w:p>
    <w:p w:rsidR="00635E1E" w:rsidRPr="0041175A"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Trading by Insiders]</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rPr>
          <w:rFonts w:asciiTheme="majorHAnsi" w:hAnsiTheme="majorHAnsi" w:cs="TT1A9t00"/>
        </w:rPr>
      </w:pPr>
      <w:r w:rsidRPr="0041175A">
        <w:rPr>
          <w:rFonts w:asciiTheme="majorHAnsi" w:hAnsiTheme="majorHAnsi" w:cs="TT1A9t00"/>
        </w:rPr>
        <w:t>Date____</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Compliance Officer,</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Machino Plastics Limited</w:t>
      </w:r>
    </w:p>
    <w:p w:rsidR="00FF32EF" w:rsidRDefault="00FF32EF" w:rsidP="00FF32EF">
      <w:pPr>
        <w:autoSpaceDE w:val="0"/>
        <w:autoSpaceDN w:val="0"/>
        <w:adjustRightInd w:val="0"/>
        <w:rPr>
          <w:rFonts w:asciiTheme="majorHAnsi" w:hAnsiTheme="majorHAnsi" w:cs="TT1A7t00"/>
        </w:rPr>
      </w:pPr>
      <w:r>
        <w:rPr>
          <w:rFonts w:asciiTheme="majorHAnsi" w:hAnsiTheme="majorHAnsi" w:cs="TT1A7t00"/>
        </w:rPr>
        <w:t>3, Maruti Joint Venture Complex,</w:t>
      </w:r>
    </w:p>
    <w:p w:rsidR="00FF32EF" w:rsidRPr="0041175A" w:rsidRDefault="00FF32EF" w:rsidP="00FF32EF">
      <w:pPr>
        <w:autoSpaceDE w:val="0"/>
        <w:autoSpaceDN w:val="0"/>
        <w:adjustRightInd w:val="0"/>
        <w:rPr>
          <w:rFonts w:asciiTheme="majorHAnsi" w:hAnsiTheme="majorHAnsi" w:cs="TT1A7t00"/>
        </w:rPr>
      </w:pPr>
      <w:r>
        <w:rPr>
          <w:rFonts w:asciiTheme="majorHAnsi" w:hAnsiTheme="majorHAnsi" w:cs="TT1A7t00"/>
        </w:rPr>
        <w:t>Gurgaon - 122015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Dear Sir,</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Pursuant to SEBI (Prohibition of Insider Trading) Regulations, 2015 and </w:t>
      </w:r>
      <w:r w:rsidR="00B734CA">
        <w:rPr>
          <w:rFonts w:asciiTheme="majorHAnsi" w:hAnsiTheme="majorHAnsi"/>
        </w:rPr>
        <w:t>Machino Plastics Limited</w:t>
      </w:r>
      <w:r w:rsidR="00B734CA" w:rsidRPr="0041175A">
        <w:rPr>
          <w:rFonts w:asciiTheme="majorHAnsi" w:hAnsiTheme="majorHAnsi" w:cs="TT1A7t00"/>
        </w:rPr>
        <w:t xml:space="preserve"> </w:t>
      </w:r>
      <w:r w:rsidRPr="0041175A">
        <w:rPr>
          <w:rFonts w:asciiTheme="majorHAnsi" w:hAnsiTheme="majorHAnsi" w:cs="TT1A7t00"/>
        </w:rPr>
        <w:t xml:space="preserve">Code of Conduct to Regulate, Monitor and Report Trading by Insiders, I ………………………………(name and designation of the Designated Person) had ……………………………. (Provide the details of purchase/sale/subscribe for shares as the case may be) ………………………. </w:t>
      </w:r>
      <w:proofErr w:type="gramStart"/>
      <w:r w:rsidRPr="0041175A">
        <w:rPr>
          <w:rFonts w:asciiTheme="majorHAnsi" w:hAnsiTheme="majorHAnsi" w:cs="TT1A7t00"/>
        </w:rPr>
        <w:t>(Number of securities) of the Company on ____ after obtaining pre-clearance on ____.</w:t>
      </w:r>
      <w:proofErr w:type="gramEnd"/>
      <w:r w:rsidRPr="0041175A">
        <w:rPr>
          <w:rFonts w:asciiTheme="majorHAnsi" w:hAnsiTheme="majorHAnsi" w:cs="TT1A7t00"/>
        </w:rPr>
        <w:t xml:space="preserve"> The details of transaction executed were submitted on ___</w:t>
      </w:r>
      <w:proofErr w:type="gramStart"/>
      <w:r w:rsidRPr="0041175A">
        <w:rPr>
          <w:rFonts w:asciiTheme="majorHAnsi" w:hAnsiTheme="majorHAnsi" w:cs="TT1A7t00"/>
        </w:rPr>
        <w:t>_(</w:t>
      </w:r>
      <w:proofErr w:type="gramEnd"/>
      <w:r w:rsidRPr="0041175A">
        <w:rPr>
          <w:rFonts w:asciiTheme="majorHAnsi" w:hAnsiTheme="majorHAnsi" w:cs="TT1A7t00"/>
        </w:rPr>
        <w:t>date) in Form II. I seek your approval to waive off the time restrictions and permit to execute a contra-trade for ………………</w:t>
      </w:r>
      <w:proofErr w:type="gramStart"/>
      <w:r w:rsidRPr="0041175A">
        <w:rPr>
          <w:rFonts w:asciiTheme="majorHAnsi" w:hAnsiTheme="majorHAnsi" w:cs="TT1A7t00"/>
        </w:rPr>
        <w:t>…(</w:t>
      </w:r>
      <w:proofErr w:type="gramEnd"/>
      <w:r w:rsidRPr="0041175A">
        <w:rPr>
          <w:rFonts w:asciiTheme="majorHAnsi" w:hAnsiTheme="majorHAnsi" w:cs="TT1A7t00"/>
        </w:rPr>
        <w:t>number of securities) of the Company due to ……………………………………………. (</w:t>
      </w:r>
      <w:proofErr w:type="gramStart"/>
      <w:r w:rsidRPr="0041175A">
        <w:rPr>
          <w:rFonts w:asciiTheme="majorHAnsi" w:hAnsiTheme="majorHAnsi" w:cs="TT1A7t00"/>
        </w:rPr>
        <w:t>valid</w:t>
      </w:r>
      <w:proofErr w:type="gramEnd"/>
      <w:r w:rsidRPr="0041175A">
        <w:rPr>
          <w:rFonts w:asciiTheme="majorHAnsi" w:hAnsiTheme="majorHAnsi" w:cs="TT1A7t00"/>
        </w:rPr>
        <w:t xml:space="preserve"> reason(s) for executing contra trade).</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I declare that I am not in possession of any Unpublished Price Sensitive Information (as defined in the </w:t>
      </w:r>
      <w:r w:rsidR="00B734CA">
        <w:rPr>
          <w:rFonts w:asciiTheme="majorHAnsi" w:hAnsiTheme="majorHAnsi"/>
        </w:rPr>
        <w:t>Machino Plastics Limited</w:t>
      </w:r>
      <w:r w:rsidR="00B734CA" w:rsidRPr="0041175A">
        <w:rPr>
          <w:rFonts w:asciiTheme="majorHAnsi" w:hAnsiTheme="majorHAnsi" w:cs="TT1A7t00"/>
        </w:rPr>
        <w:t xml:space="preserve"> </w:t>
      </w:r>
      <w:r w:rsidRPr="0041175A">
        <w:rPr>
          <w:rFonts w:asciiTheme="majorHAnsi" w:hAnsiTheme="majorHAnsi" w:cs="TT1A7t00"/>
        </w:rPr>
        <w:t xml:space="preserve">Code of Conduct to Regulate, Monitor and Report Trading by Insiders) </w:t>
      </w:r>
      <w:proofErr w:type="spellStart"/>
      <w:r w:rsidRPr="0041175A">
        <w:rPr>
          <w:rFonts w:asciiTheme="majorHAnsi" w:hAnsiTheme="majorHAnsi" w:cs="TT1A7t00"/>
        </w:rPr>
        <w:t>upto</w:t>
      </w:r>
      <w:proofErr w:type="spellEnd"/>
      <w:r w:rsidRPr="0041175A">
        <w:rPr>
          <w:rFonts w:asciiTheme="majorHAnsi" w:hAnsiTheme="majorHAnsi" w:cs="TT1A7t00"/>
        </w:rPr>
        <w:t xml:space="preserve"> the date of this application.</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 further declare that in case I have access to any Unpublished Price Sensitive Information after the</w:t>
      </w:r>
    </w:p>
    <w:p w:rsidR="00635E1E" w:rsidRPr="0041175A" w:rsidRDefault="00635E1E" w:rsidP="00635E1E">
      <w:pPr>
        <w:autoSpaceDE w:val="0"/>
        <w:autoSpaceDN w:val="0"/>
        <w:adjustRightInd w:val="0"/>
        <w:jc w:val="both"/>
        <w:rPr>
          <w:rFonts w:asciiTheme="majorHAnsi" w:hAnsiTheme="majorHAnsi" w:cs="TT1A7t00"/>
        </w:rPr>
      </w:pPr>
      <w:proofErr w:type="gramStart"/>
      <w:r w:rsidRPr="0041175A">
        <w:rPr>
          <w:rFonts w:asciiTheme="majorHAnsi" w:hAnsiTheme="majorHAnsi" w:cs="TT1A7t00"/>
        </w:rPr>
        <w:t>signing</w:t>
      </w:r>
      <w:proofErr w:type="gramEnd"/>
      <w:r w:rsidRPr="0041175A">
        <w:rPr>
          <w:rFonts w:asciiTheme="majorHAnsi" w:hAnsiTheme="majorHAnsi" w:cs="TT1A7t00"/>
        </w:rPr>
        <w:t xml:space="preserve"> of this application and before executing a contra Trade (if permitted), I shall:</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1. Promptly inform the Compliance Officer</w:t>
      </w: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2. Refrain from trading in securities of the Company.</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bookmarkStart w:id="0" w:name="_GoBack"/>
      <w:bookmarkEnd w:id="0"/>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Yours truly,</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(Signature of the Designated Person)</w:t>
      </w:r>
    </w:p>
    <w:p w:rsidR="00635E1E" w:rsidRPr="0041175A" w:rsidRDefault="00635E1E" w:rsidP="00635E1E">
      <w:pPr>
        <w:tabs>
          <w:tab w:val="left" w:pos="3825"/>
        </w:tabs>
        <w:autoSpaceDE w:val="0"/>
        <w:autoSpaceDN w:val="0"/>
        <w:adjustRightInd w:val="0"/>
        <w:jc w:val="both"/>
        <w:rPr>
          <w:rFonts w:asciiTheme="majorHAnsi" w:hAnsiTheme="majorHAnsi" w:cs="TT1A7t00"/>
        </w:rPr>
      </w:pPr>
      <w:r w:rsidRPr="0041175A">
        <w:rPr>
          <w:rFonts w:asciiTheme="majorHAnsi" w:hAnsiTheme="majorHAnsi" w:cs="TT1A7t00"/>
        </w:rPr>
        <w:t>(Name of the Designated Person)</w:t>
      </w:r>
      <w:r w:rsidRPr="0041175A">
        <w:rPr>
          <w:rFonts w:asciiTheme="majorHAnsi" w:hAnsiTheme="majorHAnsi" w:cs="TT1A7t00"/>
        </w:rPr>
        <w:tab/>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Enclosed:</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1. Copy of pre-clearance approval</w:t>
      </w: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2. Copy of Form I &amp; II</w:t>
      </w:r>
    </w:p>
    <w:p w:rsidR="00635E1E" w:rsidRPr="0041175A" w:rsidRDefault="00635E1E" w:rsidP="00635E1E">
      <w:pPr>
        <w:rPr>
          <w:rFonts w:asciiTheme="majorHAnsi" w:hAnsiTheme="majorHAnsi" w:cs="TT1A7t00"/>
        </w:rPr>
      </w:pPr>
      <w:r w:rsidRPr="0041175A">
        <w:rPr>
          <w:rFonts w:asciiTheme="majorHAnsi" w:hAnsiTheme="majorHAnsi" w:cs="TT1A7t00"/>
        </w:rPr>
        <w:br w:type="page"/>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lastRenderedPageBreak/>
        <w:t>FORM IV</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Securities and Exchange Board of India (Prohibition of Insider Trading) Regulations, 2015</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TRANSACTIONS BY DESIGNATED PERSONS AS IDENTIFIED BY THE COMPANY</w:t>
      </w:r>
    </w:p>
    <w:p w:rsidR="00FF32EF"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 xml:space="preserve">[Clause 13(1) of </w:t>
      </w:r>
      <w:r w:rsidR="00FF32EF" w:rsidRPr="00FF32EF">
        <w:rPr>
          <w:rFonts w:asciiTheme="majorHAnsi" w:hAnsiTheme="majorHAnsi" w:cs="TT1A9t00"/>
          <w:b/>
        </w:rPr>
        <w:t>Machino Plastics Limited</w:t>
      </w:r>
      <w:r w:rsidR="00FF32EF" w:rsidRPr="0041175A">
        <w:rPr>
          <w:rFonts w:asciiTheme="majorHAnsi" w:hAnsiTheme="majorHAnsi" w:cs="TT1A9t00"/>
          <w:b/>
        </w:rPr>
        <w:t xml:space="preserve"> </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 Code of Conduct to Regulate, Monitor and Report Trading by Insiders]</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Details of transactions executed during _</w:t>
      </w:r>
      <w:proofErr w:type="gramStart"/>
      <w:r w:rsidRPr="0041175A">
        <w:rPr>
          <w:rFonts w:asciiTheme="majorHAnsi" w:hAnsiTheme="majorHAnsi" w:cs="TT1A9t00"/>
          <w:b/>
        </w:rPr>
        <w:t>_(</w:t>
      </w:r>
      <w:proofErr w:type="gramEnd"/>
      <w:r w:rsidRPr="0041175A">
        <w:rPr>
          <w:rFonts w:asciiTheme="majorHAnsi" w:hAnsiTheme="majorHAnsi" w:cs="TT1A9t00"/>
          <w:b/>
        </w:rPr>
        <w:t>Q1,Q2,Q3,Q4) of ___(Year) in securities of the Company</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jc w:val="both"/>
        <w:rPr>
          <w:rFonts w:asciiTheme="majorHAnsi" w:hAnsiTheme="majorHAnsi" w:cs="TT1A9t00"/>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900"/>
        <w:gridCol w:w="450"/>
        <w:gridCol w:w="720"/>
        <w:gridCol w:w="450"/>
        <w:gridCol w:w="630"/>
        <w:gridCol w:w="630"/>
        <w:gridCol w:w="450"/>
        <w:gridCol w:w="450"/>
        <w:gridCol w:w="720"/>
        <w:gridCol w:w="720"/>
        <w:gridCol w:w="450"/>
        <w:gridCol w:w="630"/>
        <w:gridCol w:w="450"/>
        <w:gridCol w:w="540"/>
        <w:gridCol w:w="810"/>
      </w:tblGrid>
      <w:tr w:rsidR="00635E1E" w:rsidRPr="0041175A" w:rsidTr="002E6687">
        <w:trPr>
          <w:trHeight w:val="1637"/>
        </w:trPr>
        <w:tc>
          <w:tcPr>
            <w:tcW w:w="81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Name,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PAN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No., CIN/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DIN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&amp; address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Designated</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Persons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with</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contact</w:t>
            </w:r>
          </w:p>
          <w:p w:rsidR="00635E1E" w:rsidRPr="0041175A" w:rsidRDefault="00635E1E" w:rsidP="002E6687">
            <w:pPr>
              <w:jc w:val="both"/>
              <w:rPr>
                <w:rFonts w:asciiTheme="majorHAnsi" w:hAnsiTheme="majorHAnsi" w:cs="TT1A7t00"/>
                <w:sz w:val="14"/>
                <w:szCs w:val="14"/>
              </w:rPr>
            </w:pPr>
            <w:r w:rsidRPr="0041175A">
              <w:rPr>
                <w:rFonts w:asciiTheme="majorHAnsi" w:hAnsiTheme="majorHAnsi" w:cs="TT1A7t00"/>
                <w:sz w:val="14"/>
                <w:szCs w:val="14"/>
              </w:rPr>
              <w:t>nos.</w:t>
            </w:r>
          </w:p>
        </w:tc>
        <w:tc>
          <w:tcPr>
            <w:tcW w:w="90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Connection with</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the</w:t>
            </w:r>
          </w:p>
          <w:p w:rsidR="00635E1E" w:rsidRPr="0041175A" w:rsidRDefault="00635E1E" w:rsidP="002E6687">
            <w:pPr>
              <w:jc w:val="both"/>
              <w:rPr>
                <w:rFonts w:asciiTheme="majorHAnsi" w:hAnsiTheme="majorHAnsi" w:cs="TT1A7t00"/>
                <w:sz w:val="14"/>
                <w:szCs w:val="14"/>
              </w:rPr>
            </w:pPr>
            <w:r w:rsidRPr="0041175A">
              <w:rPr>
                <w:rFonts w:asciiTheme="majorHAnsi" w:hAnsiTheme="majorHAnsi" w:cs="TT1A7t00"/>
                <w:sz w:val="14"/>
                <w:szCs w:val="14"/>
              </w:rPr>
              <w:t>Company</w:t>
            </w:r>
          </w:p>
        </w:tc>
        <w:tc>
          <w:tcPr>
            <w:tcW w:w="135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Securities held</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prior to</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acquisition/</w:t>
            </w:r>
          </w:p>
          <w:p w:rsidR="00635E1E" w:rsidRPr="0041175A" w:rsidRDefault="00635E1E" w:rsidP="002E6687">
            <w:pPr>
              <w:jc w:val="both"/>
              <w:rPr>
                <w:rFonts w:asciiTheme="majorHAnsi" w:hAnsiTheme="majorHAnsi" w:cs="TT1A7t00"/>
                <w:sz w:val="14"/>
                <w:szCs w:val="14"/>
              </w:rPr>
            </w:pPr>
            <w:r w:rsidRPr="0041175A">
              <w:rPr>
                <w:rFonts w:asciiTheme="majorHAnsi" w:hAnsiTheme="majorHAnsi" w:cs="TT1A7t00"/>
                <w:sz w:val="14"/>
                <w:szCs w:val="14"/>
              </w:rPr>
              <w:t>disposal</w:t>
            </w:r>
          </w:p>
        </w:tc>
        <w:tc>
          <w:tcPr>
            <w:tcW w:w="117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Securities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acquired/</w:t>
            </w:r>
          </w:p>
          <w:p w:rsidR="00635E1E" w:rsidRPr="0041175A" w:rsidRDefault="00635E1E" w:rsidP="002E6687">
            <w:pPr>
              <w:jc w:val="both"/>
              <w:rPr>
                <w:rFonts w:asciiTheme="majorHAnsi" w:hAnsiTheme="majorHAnsi" w:cs="TT1A7t00"/>
                <w:sz w:val="14"/>
                <w:szCs w:val="14"/>
              </w:rPr>
            </w:pPr>
            <w:r w:rsidRPr="0041175A">
              <w:rPr>
                <w:rFonts w:asciiTheme="majorHAnsi" w:hAnsiTheme="majorHAnsi" w:cs="TT1A7t00"/>
                <w:sz w:val="14"/>
                <w:szCs w:val="14"/>
              </w:rPr>
              <w:t>Disposed</w:t>
            </w:r>
          </w:p>
        </w:tc>
        <w:tc>
          <w:tcPr>
            <w:tcW w:w="126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Shareholding</w:t>
            </w:r>
          </w:p>
        </w:tc>
        <w:tc>
          <w:tcPr>
            <w:tcW w:w="900" w:type="dxa"/>
            <w:gridSpan w:val="2"/>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Date of allotment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advice/acquisition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of shares/sale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shares specify</w:t>
            </w:r>
          </w:p>
        </w:tc>
        <w:tc>
          <w:tcPr>
            <w:tcW w:w="72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Date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intimation to</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company</w:t>
            </w:r>
          </w:p>
        </w:tc>
        <w:tc>
          <w:tcPr>
            <w:tcW w:w="72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Mode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acquisition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(market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purchase/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public rights/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preferential</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offer/ off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market/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Inter-se</w:t>
            </w:r>
          </w:p>
          <w:p w:rsidR="00635E1E" w:rsidRPr="0041175A" w:rsidRDefault="00635E1E" w:rsidP="002E6687">
            <w:pPr>
              <w:autoSpaceDE w:val="0"/>
              <w:autoSpaceDN w:val="0"/>
              <w:adjustRightInd w:val="0"/>
              <w:rPr>
                <w:rFonts w:asciiTheme="majorHAnsi" w:hAnsiTheme="majorHAnsi" w:cs="TT1A7t00"/>
                <w:sz w:val="14"/>
                <w:szCs w:val="14"/>
              </w:rPr>
            </w:pPr>
            <w:proofErr w:type="gramStart"/>
            <w:r w:rsidRPr="0041175A">
              <w:rPr>
                <w:rFonts w:asciiTheme="majorHAnsi" w:hAnsiTheme="majorHAnsi" w:cs="TT1A7t00"/>
                <w:sz w:val="14"/>
                <w:szCs w:val="14"/>
              </w:rPr>
              <w:t>transfer</w:t>
            </w:r>
            <w:proofErr w:type="gramEnd"/>
            <w:r w:rsidRPr="0041175A">
              <w:rPr>
                <w:rFonts w:asciiTheme="majorHAnsi" w:hAnsiTheme="majorHAnsi" w:cs="TT1A7t00"/>
                <w:sz w:val="14"/>
                <w:szCs w:val="14"/>
              </w:rPr>
              <w:t xml:space="preserve"> etc.)</w:t>
            </w:r>
          </w:p>
        </w:tc>
        <w:tc>
          <w:tcPr>
            <w:tcW w:w="2070" w:type="dxa"/>
            <w:gridSpan w:val="4"/>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Trading in Derivatives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(Specify type of contract,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Futures or options etc.)</w:t>
            </w:r>
          </w:p>
        </w:tc>
        <w:tc>
          <w:tcPr>
            <w:tcW w:w="81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Exchange on</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which the trade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was executed</w:t>
            </w:r>
          </w:p>
        </w:tc>
      </w:tr>
      <w:tr w:rsidR="00635E1E" w:rsidRPr="0041175A" w:rsidTr="002E6687">
        <w:trPr>
          <w:trHeight w:val="2357"/>
        </w:trPr>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Type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security</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 xml:space="preserve">(For </w:t>
            </w:r>
            <w:proofErr w:type="spellStart"/>
            <w:r w:rsidRPr="0041175A">
              <w:rPr>
                <w:rFonts w:asciiTheme="majorHAnsi" w:hAnsiTheme="majorHAnsi" w:cs="TT1A7t00"/>
                <w:sz w:val="14"/>
                <w:szCs w:val="14"/>
              </w:rPr>
              <w:t>eg</w:t>
            </w:r>
            <w:proofErr w:type="spellEnd"/>
            <w:r w:rsidRPr="0041175A">
              <w:rPr>
                <w:rFonts w:asciiTheme="majorHAnsi" w:hAnsiTheme="majorHAnsi" w:cs="TT1A7t00"/>
                <w:sz w:val="14"/>
                <w:szCs w:val="14"/>
              </w:rPr>
              <w: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Shares,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Warrants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Convertible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Debentures</w:t>
            </w:r>
          </w:p>
          <w:p w:rsidR="00635E1E" w:rsidRPr="0041175A" w:rsidRDefault="00635E1E" w:rsidP="002E6687">
            <w:pPr>
              <w:pStyle w:val="NoSpacing"/>
              <w:rPr>
                <w:rFonts w:asciiTheme="majorHAnsi" w:hAnsiTheme="majorHAnsi"/>
                <w:sz w:val="14"/>
                <w:szCs w:val="14"/>
              </w:rPr>
            </w:pPr>
            <w:proofErr w:type="gramStart"/>
            <w:r w:rsidRPr="0041175A">
              <w:rPr>
                <w:rFonts w:asciiTheme="majorHAnsi" w:hAnsiTheme="majorHAnsi" w:cs="TT1A7t00"/>
                <w:sz w:val="14"/>
                <w:szCs w:val="14"/>
              </w:rPr>
              <w:t>etc</w:t>
            </w:r>
            <w:proofErr w:type="gramEnd"/>
            <w:r w:rsidRPr="0041175A">
              <w:rPr>
                <w:rFonts w:asciiTheme="majorHAnsi" w:hAnsiTheme="majorHAnsi" w:cs="TT1A7t00"/>
                <w:sz w:val="14"/>
                <w:szCs w:val="14"/>
              </w:rPr>
              <w:t>.)</w:t>
            </w:r>
          </w:p>
        </w:tc>
        <w:tc>
          <w:tcPr>
            <w:tcW w:w="45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No.</w:t>
            </w:r>
          </w:p>
        </w:tc>
        <w:tc>
          <w:tcPr>
            <w:tcW w:w="720" w:type="dxa"/>
            <w:vMerge w:val="restart"/>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Type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security</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(For</w:t>
            </w:r>
          </w:p>
          <w:p w:rsidR="00635E1E" w:rsidRPr="0041175A" w:rsidRDefault="00635E1E" w:rsidP="002E6687">
            <w:pPr>
              <w:autoSpaceDE w:val="0"/>
              <w:autoSpaceDN w:val="0"/>
              <w:adjustRightInd w:val="0"/>
              <w:rPr>
                <w:rFonts w:asciiTheme="majorHAnsi" w:hAnsiTheme="majorHAnsi" w:cs="TT1A7t00"/>
                <w:sz w:val="14"/>
                <w:szCs w:val="14"/>
              </w:rPr>
            </w:pPr>
            <w:proofErr w:type="spellStart"/>
            <w:proofErr w:type="gramStart"/>
            <w:r w:rsidRPr="0041175A">
              <w:rPr>
                <w:rFonts w:asciiTheme="majorHAnsi" w:hAnsiTheme="majorHAnsi" w:cs="TT1A7t00"/>
                <w:sz w:val="14"/>
                <w:szCs w:val="14"/>
              </w:rPr>
              <w:t>eg</w:t>
            </w:r>
            <w:proofErr w:type="spellEnd"/>
            <w:proofErr w:type="gramEnd"/>
            <w:r w:rsidRPr="0041175A">
              <w:rPr>
                <w:rFonts w:asciiTheme="majorHAnsi" w:hAnsiTheme="majorHAnsi" w:cs="TT1A7t00"/>
                <w:sz w:val="14"/>
                <w:szCs w:val="14"/>
              </w:rPr>
              <w:t>.–</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Shares,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Warrants,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Convertible</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Debentures</w:t>
            </w:r>
          </w:p>
          <w:p w:rsidR="00635E1E" w:rsidRPr="0041175A" w:rsidRDefault="00635E1E" w:rsidP="002E6687">
            <w:pPr>
              <w:pStyle w:val="NoSpacing"/>
              <w:rPr>
                <w:rFonts w:asciiTheme="majorHAnsi" w:hAnsiTheme="majorHAnsi"/>
                <w:sz w:val="14"/>
                <w:szCs w:val="14"/>
              </w:rPr>
            </w:pPr>
            <w:proofErr w:type="gramStart"/>
            <w:r w:rsidRPr="0041175A">
              <w:rPr>
                <w:rFonts w:asciiTheme="majorHAnsi" w:hAnsiTheme="majorHAnsi" w:cs="TT1A7t00"/>
                <w:sz w:val="14"/>
                <w:szCs w:val="14"/>
              </w:rPr>
              <w:t>etc</w:t>
            </w:r>
            <w:proofErr w:type="gramEnd"/>
            <w:r w:rsidRPr="0041175A">
              <w:rPr>
                <w:rFonts w:asciiTheme="majorHAnsi" w:hAnsiTheme="majorHAnsi" w:cs="TT1A7t00"/>
                <w:sz w:val="14"/>
                <w:szCs w:val="14"/>
              </w:rPr>
              <w:t>.)</w:t>
            </w:r>
          </w:p>
        </w:tc>
        <w:tc>
          <w:tcPr>
            <w:tcW w:w="45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No.</w:t>
            </w:r>
          </w:p>
        </w:tc>
        <w:tc>
          <w:tcPr>
            <w:tcW w:w="63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Pre</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Trans</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action</w:t>
            </w:r>
          </w:p>
        </w:tc>
        <w:tc>
          <w:tcPr>
            <w:tcW w:w="630" w:type="dxa"/>
            <w:vMerge w:val="restart"/>
            <w:shd w:val="clear" w:color="auto" w:fill="auto"/>
          </w:tcPr>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Post</w:t>
            </w:r>
          </w:p>
          <w:p w:rsidR="00635E1E" w:rsidRPr="0041175A" w:rsidRDefault="00635E1E" w:rsidP="002E6687">
            <w:pPr>
              <w:pStyle w:val="NoSpacing"/>
              <w:rPr>
                <w:rFonts w:asciiTheme="majorHAnsi" w:hAnsiTheme="majorHAnsi" w:cs="TT1A7t00"/>
                <w:sz w:val="14"/>
                <w:szCs w:val="14"/>
              </w:rPr>
            </w:pPr>
            <w:r w:rsidRPr="0041175A">
              <w:rPr>
                <w:rFonts w:asciiTheme="majorHAnsi" w:hAnsiTheme="majorHAnsi" w:cs="TT1A7t00"/>
                <w:sz w:val="14"/>
                <w:szCs w:val="14"/>
              </w:rPr>
              <w:t>trans</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action</w:t>
            </w:r>
          </w:p>
        </w:tc>
        <w:tc>
          <w:tcPr>
            <w:tcW w:w="45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From</w:t>
            </w:r>
          </w:p>
        </w:tc>
        <w:tc>
          <w:tcPr>
            <w:tcW w:w="450" w:type="dxa"/>
            <w:vMerge w:val="restart"/>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To</w:t>
            </w: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1080" w:type="dxa"/>
            <w:gridSpan w:val="2"/>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Buy</w:t>
            </w:r>
          </w:p>
        </w:tc>
        <w:tc>
          <w:tcPr>
            <w:tcW w:w="990" w:type="dxa"/>
            <w:gridSpan w:val="2"/>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Sell</w:t>
            </w:r>
          </w:p>
        </w:tc>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r>
      <w:tr w:rsidR="00635E1E" w:rsidRPr="0041175A" w:rsidTr="002E6687">
        <w:trPr>
          <w:trHeight w:val="1538"/>
        </w:trPr>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shd w:val="clear" w:color="auto" w:fill="auto"/>
          </w:tcPr>
          <w:p w:rsidR="00635E1E" w:rsidRPr="0041175A" w:rsidRDefault="00635E1E" w:rsidP="002E6687">
            <w:pPr>
              <w:pStyle w:val="NoSpacing"/>
              <w:rPr>
                <w:rFonts w:asciiTheme="majorHAnsi" w:hAnsiTheme="majorHAnsi"/>
                <w:sz w:val="14"/>
                <w:szCs w:val="14"/>
              </w:rPr>
            </w:pPr>
          </w:p>
        </w:tc>
        <w:tc>
          <w:tcPr>
            <w:tcW w:w="90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vMerge/>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vMerge/>
            <w:shd w:val="clear" w:color="auto" w:fill="auto"/>
          </w:tcPr>
          <w:p w:rsidR="00635E1E" w:rsidRPr="0041175A" w:rsidRDefault="00635E1E" w:rsidP="002E6687">
            <w:pPr>
              <w:pStyle w:val="NoSpacing"/>
              <w:rPr>
                <w:rFonts w:asciiTheme="majorHAnsi" w:hAnsiTheme="majorHAnsi"/>
                <w:sz w:val="14"/>
                <w:szCs w:val="14"/>
              </w:rPr>
            </w:pPr>
          </w:p>
        </w:tc>
        <w:tc>
          <w:tcPr>
            <w:tcW w:w="45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720" w:type="dxa"/>
            <w:vMerge/>
            <w:shd w:val="clear" w:color="auto" w:fill="auto"/>
          </w:tcPr>
          <w:p w:rsidR="00635E1E" w:rsidRPr="0041175A" w:rsidRDefault="00635E1E" w:rsidP="002E6687">
            <w:pPr>
              <w:pStyle w:val="NoSpacing"/>
              <w:rPr>
                <w:rFonts w:asciiTheme="majorHAnsi" w:hAnsiTheme="majorHAnsi"/>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Value</w:t>
            </w:r>
          </w:p>
        </w:tc>
        <w:tc>
          <w:tcPr>
            <w:tcW w:w="63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Numb</w:t>
            </w:r>
          </w:p>
          <w:p w:rsidR="00635E1E" w:rsidRPr="0041175A" w:rsidRDefault="00635E1E" w:rsidP="002E6687">
            <w:pPr>
              <w:autoSpaceDE w:val="0"/>
              <w:autoSpaceDN w:val="0"/>
              <w:adjustRightInd w:val="0"/>
              <w:rPr>
                <w:rFonts w:asciiTheme="majorHAnsi" w:hAnsiTheme="majorHAnsi" w:cs="TT1A7t00"/>
                <w:sz w:val="14"/>
                <w:szCs w:val="14"/>
              </w:rPr>
            </w:pPr>
            <w:proofErr w:type="spellStart"/>
            <w:r w:rsidRPr="0041175A">
              <w:rPr>
                <w:rFonts w:asciiTheme="majorHAnsi" w:hAnsiTheme="majorHAnsi" w:cs="TT1A7t00"/>
                <w:sz w:val="14"/>
                <w:szCs w:val="14"/>
              </w:rPr>
              <w:t>er</w:t>
            </w:r>
            <w:proofErr w:type="spellEnd"/>
            <w:r w:rsidRPr="0041175A">
              <w:rPr>
                <w:rFonts w:asciiTheme="majorHAnsi" w:hAnsiTheme="majorHAnsi" w:cs="TT1A7t00"/>
                <w:sz w:val="14"/>
                <w:szCs w:val="14"/>
              </w:rPr>
              <w:t xml:space="preserv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units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t>
            </w:r>
            <w:proofErr w:type="spellStart"/>
            <w:r w:rsidRPr="0041175A">
              <w:rPr>
                <w:rFonts w:asciiTheme="majorHAnsi" w:hAnsiTheme="majorHAnsi" w:cs="TT1A7t00"/>
                <w:sz w:val="14"/>
                <w:szCs w:val="14"/>
              </w:rPr>
              <w:t>contr</w:t>
            </w:r>
            <w:proofErr w:type="spellEnd"/>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lot</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size)</w:t>
            </w:r>
          </w:p>
        </w:tc>
        <w:tc>
          <w:tcPr>
            <w:tcW w:w="450" w:type="dxa"/>
            <w:shd w:val="clear" w:color="auto" w:fill="auto"/>
          </w:tcPr>
          <w:p w:rsidR="00635E1E" w:rsidRPr="0041175A" w:rsidRDefault="00635E1E" w:rsidP="002E6687">
            <w:pPr>
              <w:pStyle w:val="NoSpacing"/>
              <w:rPr>
                <w:rFonts w:asciiTheme="majorHAnsi" w:hAnsiTheme="majorHAnsi"/>
                <w:sz w:val="14"/>
                <w:szCs w:val="14"/>
              </w:rPr>
            </w:pPr>
            <w:r w:rsidRPr="0041175A">
              <w:rPr>
                <w:rFonts w:asciiTheme="majorHAnsi" w:hAnsiTheme="majorHAnsi"/>
                <w:sz w:val="14"/>
                <w:szCs w:val="14"/>
              </w:rPr>
              <w:t>Value</w:t>
            </w:r>
          </w:p>
        </w:tc>
        <w:tc>
          <w:tcPr>
            <w:tcW w:w="54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Numb</w:t>
            </w:r>
          </w:p>
          <w:p w:rsidR="00635E1E" w:rsidRPr="0041175A" w:rsidRDefault="00635E1E" w:rsidP="002E6687">
            <w:pPr>
              <w:autoSpaceDE w:val="0"/>
              <w:autoSpaceDN w:val="0"/>
              <w:adjustRightInd w:val="0"/>
              <w:rPr>
                <w:rFonts w:asciiTheme="majorHAnsi" w:hAnsiTheme="majorHAnsi" w:cs="TT1A7t00"/>
                <w:sz w:val="14"/>
                <w:szCs w:val="14"/>
              </w:rPr>
            </w:pPr>
            <w:proofErr w:type="spellStart"/>
            <w:r w:rsidRPr="0041175A">
              <w:rPr>
                <w:rFonts w:asciiTheme="majorHAnsi" w:hAnsiTheme="majorHAnsi" w:cs="TT1A7t00"/>
                <w:sz w:val="14"/>
                <w:szCs w:val="14"/>
              </w:rPr>
              <w:t>er</w:t>
            </w:r>
            <w:proofErr w:type="spellEnd"/>
            <w:r w:rsidRPr="0041175A">
              <w:rPr>
                <w:rFonts w:asciiTheme="majorHAnsi" w:hAnsiTheme="majorHAnsi" w:cs="TT1A7t00"/>
                <w:sz w:val="14"/>
                <w:szCs w:val="14"/>
              </w:rPr>
              <w:t xml:space="preserve"> of</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units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w:t>
            </w:r>
            <w:proofErr w:type="spellStart"/>
            <w:r w:rsidRPr="0041175A">
              <w:rPr>
                <w:rFonts w:asciiTheme="majorHAnsi" w:hAnsiTheme="majorHAnsi" w:cs="TT1A7t00"/>
                <w:sz w:val="14"/>
                <w:szCs w:val="14"/>
              </w:rPr>
              <w:t>contr</w:t>
            </w:r>
            <w:proofErr w:type="spellEnd"/>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acts*</w:t>
            </w:r>
          </w:p>
          <w:p w:rsidR="00635E1E" w:rsidRPr="0041175A" w:rsidRDefault="00635E1E" w:rsidP="002E6687">
            <w:pPr>
              <w:autoSpaceDE w:val="0"/>
              <w:autoSpaceDN w:val="0"/>
              <w:adjustRightInd w:val="0"/>
              <w:rPr>
                <w:rFonts w:asciiTheme="majorHAnsi" w:hAnsiTheme="majorHAnsi" w:cs="TT1A7t00"/>
                <w:sz w:val="14"/>
                <w:szCs w:val="14"/>
              </w:rPr>
            </w:pPr>
            <w:r w:rsidRPr="0041175A">
              <w:rPr>
                <w:rFonts w:asciiTheme="majorHAnsi" w:hAnsiTheme="majorHAnsi" w:cs="TT1A7t00"/>
                <w:sz w:val="14"/>
                <w:szCs w:val="14"/>
              </w:rPr>
              <w:t>lot</w:t>
            </w:r>
          </w:p>
          <w:p w:rsidR="00635E1E" w:rsidRPr="0041175A" w:rsidRDefault="00635E1E" w:rsidP="002E6687">
            <w:pPr>
              <w:pStyle w:val="NoSpacing"/>
              <w:rPr>
                <w:rFonts w:asciiTheme="majorHAnsi" w:hAnsiTheme="majorHAnsi"/>
                <w:sz w:val="14"/>
                <w:szCs w:val="14"/>
              </w:rPr>
            </w:pPr>
            <w:r w:rsidRPr="0041175A">
              <w:rPr>
                <w:rFonts w:asciiTheme="majorHAnsi" w:hAnsiTheme="majorHAnsi" w:cs="TT1A7t00"/>
                <w:sz w:val="14"/>
                <w:szCs w:val="14"/>
              </w:rPr>
              <w:t>size)</w:t>
            </w:r>
          </w:p>
        </w:tc>
        <w:tc>
          <w:tcPr>
            <w:tcW w:w="810" w:type="dxa"/>
            <w:vMerge/>
            <w:shd w:val="clear" w:color="auto" w:fill="auto"/>
          </w:tcPr>
          <w:p w:rsidR="00635E1E" w:rsidRPr="0041175A" w:rsidRDefault="00635E1E" w:rsidP="002E6687">
            <w:pPr>
              <w:pStyle w:val="NoSpacing"/>
              <w:rPr>
                <w:rFonts w:asciiTheme="majorHAnsi" w:hAnsiTheme="majorHAnsi"/>
                <w:sz w:val="14"/>
                <w:szCs w:val="14"/>
              </w:rPr>
            </w:pPr>
          </w:p>
        </w:tc>
      </w:tr>
      <w:tr w:rsidR="00635E1E" w:rsidRPr="0041175A" w:rsidTr="002E6687">
        <w:trPr>
          <w:trHeight w:val="368"/>
        </w:trPr>
        <w:tc>
          <w:tcPr>
            <w:tcW w:w="81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w:t>
            </w:r>
          </w:p>
        </w:tc>
        <w:tc>
          <w:tcPr>
            <w:tcW w:w="90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2</w:t>
            </w:r>
          </w:p>
        </w:tc>
        <w:tc>
          <w:tcPr>
            <w:tcW w:w="900" w:type="dxa"/>
            <w:shd w:val="clear" w:color="auto" w:fill="auto"/>
            <w:vAlign w:val="center"/>
          </w:tcPr>
          <w:p w:rsidR="00635E1E" w:rsidRPr="0041175A" w:rsidRDefault="00635E1E" w:rsidP="002E6687">
            <w:pPr>
              <w:pStyle w:val="NoSpacing"/>
              <w:jc w:val="center"/>
              <w:rPr>
                <w:rFonts w:asciiTheme="majorHAnsi" w:hAnsiTheme="majorHAnsi" w:cs="TT1A7t00"/>
                <w:b/>
                <w:sz w:val="14"/>
                <w:szCs w:val="14"/>
              </w:rPr>
            </w:pPr>
            <w:r w:rsidRPr="0041175A">
              <w:rPr>
                <w:rFonts w:asciiTheme="majorHAnsi" w:hAnsiTheme="majorHAnsi" w:cs="TT1A7t00"/>
                <w:b/>
                <w:sz w:val="14"/>
                <w:szCs w:val="14"/>
              </w:rPr>
              <w:t>3</w:t>
            </w:r>
          </w:p>
        </w:tc>
        <w:tc>
          <w:tcPr>
            <w:tcW w:w="45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4</w:t>
            </w:r>
          </w:p>
        </w:tc>
        <w:tc>
          <w:tcPr>
            <w:tcW w:w="720" w:type="dxa"/>
            <w:shd w:val="clear" w:color="auto" w:fill="auto"/>
            <w:vAlign w:val="center"/>
          </w:tcPr>
          <w:p w:rsidR="00635E1E" w:rsidRPr="0041175A" w:rsidRDefault="00635E1E" w:rsidP="002E6687">
            <w:pPr>
              <w:pStyle w:val="NoSpacing"/>
              <w:jc w:val="center"/>
              <w:rPr>
                <w:rFonts w:asciiTheme="majorHAnsi" w:hAnsiTheme="majorHAnsi" w:cs="TT1A7t00"/>
                <w:b/>
                <w:sz w:val="14"/>
                <w:szCs w:val="14"/>
              </w:rPr>
            </w:pPr>
            <w:r w:rsidRPr="0041175A">
              <w:rPr>
                <w:rFonts w:asciiTheme="majorHAnsi" w:hAnsiTheme="majorHAnsi" w:cs="TT1A7t00"/>
                <w:b/>
                <w:sz w:val="14"/>
                <w:szCs w:val="14"/>
              </w:rPr>
              <w:t>5</w:t>
            </w:r>
          </w:p>
        </w:tc>
        <w:tc>
          <w:tcPr>
            <w:tcW w:w="450" w:type="dxa"/>
            <w:shd w:val="clear" w:color="auto" w:fill="auto"/>
            <w:vAlign w:val="center"/>
          </w:tcPr>
          <w:p w:rsidR="00635E1E" w:rsidRPr="0041175A" w:rsidRDefault="00635E1E" w:rsidP="002E6687">
            <w:pPr>
              <w:pStyle w:val="NoSpacing"/>
              <w:jc w:val="center"/>
              <w:rPr>
                <w:rFonts w:asciiTheme="majorHAnsi" w:hAnsiTheme="majorHAnsi" w:cs="TT1A7t00"/>
                <w:b/>
                <w:sz w:val="14"/>
                <w:szCs w:val="14"/>
              </w:rPr>
            </w:pPr>
            <w:r w:rsidRPr="0041175A">
              <w:rPr>
                <w:rFonts w:asciiTheme="majorHAnsi" w:hAnsiTheme="majorHAnsi" w:cs="TT1A7t00"/>
                <w:b/>
                <w:sz w:val="14"/>
                <w:szCs w:val="14"/>
              </w:rPr>
              <w:t>6</w:t>
            </w:r>
          </w:p>
        </w:tc>
        <w:tc>
          <w:tcPr>
            <w:tcW w:w="630" w:type="dxa"/>
            <w:shd w:val="clear" w:color="auto" w:fill="auto"/>
            <w:vAlign w:val="center"/>
          </w:tcPr>
          <w:p w:rsidR="00635E1E" w:rsidRPr="0041175A" w:rsidRDefault="00635E1E" w:rsidP="002E6687">
            <w:pPr>
              <w:pStyle w:val="NoSpacing"/>
              <w:jc w:val="center"/>
              <w:rPr>
                <w:rFonts w:asciiTheme="majorHAnsi" w:hAnsiTheme="majorHAnsi" w:cs="TT1A7t00"/>
                <w:b/>
                <w:sz w:val="14"/>
                <w:szCs w:val="14"/>
              </w:rPr>
            </w:pPr>
            <w:r w:rsidRPr="0041175A">
              <w:rPr>
                <w:rFonts w:asciiTheme="majorHAnsi" w:hAnsiTheme="majorHAnsi" w:cs="TT1A7t00"/>
                <w:b/>
                <w:sz w:val="14"/>
                <w:szCs w:val="14"/>
              </w:rPr>
              <w:t>7</w:t>
            </w:r>
          </w:p>
        </w:tc>
        <w:tc>
          <w:tcPr>
            <w:tcW w:w="630" w:type="dxa"/>
            <w:shd w:val="clear" w:color="auto" w:fill="auto"/>
            <w:vAlign w:val="center"/>
          </w:tcPr>
          <w:p w:rsidR="00635E1E" w:rsidRPr="0041175A" w:rsidRDefault="00635E1E" w:rsidP="002E6687">
            <w:pPr>
              <w:pStyle w:val="NoSpacing"/>
              <w:jc w:val="center"/>
              <w:rPr>
                <w:rFonts w:asciiTheme="majorHAnsi" w:hAnsiTheme="majorHAnsi" w:cs="TT1A7t00"/>
                <w:b/>
                <w:sz w:val="14"/>
                <w:szCs w:val="14"/>
              </w:rPr>
            </w:pPr>
            <w:r w:rsidRPr="0041175A">
              <w:rPr>
                <w:rFonts w:asciiTheme="majorHAnsi" w:hAnsiTheme="majorHAnsi" w:cs="TT1A7t00"/>
                <w:b/>
                <w:sz w:val="14"/>
                <w:szCs w:val="14"/>
              </w:rPr>
              <w:t>8</w:t>
            </w:r>
          </w:p>
        </w:tc>
        <w:tc>
          <w:tcPr>
            <w:tcW w:w="45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9</w:t>
            </w:r>
          </w:p>
        </w:tc>
        <w:tc>
          <w:tcPr>
            <w:tcW w:w="45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10</w:t>
            </w:r>
          </w:p>
        </w:tc>
        <w:tc>
          <w:tcPr>
            <w:tcW w:w="72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11</w:t>
            </w:r>
          </w:p>
        </w:tc>
        <w:tc>
          <w:tcPr>
            <w:tcW w:w="72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12</w:t>
            </w:r>
          </w:p>
        </w:tc>
        <w:tc>
          <w:tcPr>
            <w:tcW w:w="45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13</w:t>
            </w:r>
          </w:p>
        </w:tc>
        <w:tc>
          <w:tcPr>
            <w:tcW w:w="630" w:type="dxa"/>
            <w:shd w:val="clear" w:color="auto" w:fill="auto"/>
            <w:vAlign w:val="center"/>
          </w:tcPr>
          <w:p w:rsidR="00635E1E" w:rsidRPr="0041175A" w:rsidRDefault="00635E1E" w:rsidP="002E6687">
            <w:pPr>
              <w:autoSpaceDE w:val="0"/>
              <w:autoSpaceDN w:val="0"/>
              <w:adjustRightInd w:val="0"/>
              <w:jc w:val="center"/>
              <w:rPr>
                <w:rFonts w:asciiTheme="majorHAnsi" w:hAnsiTheme="majorHAnsi" w:cs="TT1A7t00"/>
                <w:b/>
                <w:sz w:val="14"/>
                <w:szCs w:val="14"/>
              </w:rPr>
            </w:pPr>
            <w:r w:rsidRPr="0041175A">
              <w:rPr>
                <w:rFonts w:asciiTheme="majorHAnsi" w:hAnsiTheme="majorHAnsi" w:cs="TT1A7t00"/>
                <w:b/>
                <w:sz w:val="14"/>
                <w:szCs w:val="14"/>
              </w:rPr>
              <w:t>14</w:t>
            </w:r>
          </w:p>
        </w:tc>
        <w:tc>
          <w:tcPr>
            <w:tcW w:w="45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15</w:t>
            </w:r>
          </w:p>
        </w:tc>
        <w:tc>
          <w:tcPr>
            <w:tcW w:w="540" w:type="dxa"/>
            <w:shd w:val="clear" w:color="auto" w:fill="auto"/>
            <w:vAlign w:val="center"/>
          </w:tcPr>
          <w:p w:rsidR="00635E1E" w:rsidRPr="0041175A" w:rsidRDefault="00635E1E" w:rsidP="002E6687">
            <w:pPr>
              <w:autoSpaceDE w:val="0"/>
              <w:autoSpaceDN w:val="0"/>
              <w:adjustRightInd w:val="0"/>
              <w:jc w:val="center"/>
              <w:rPr>
                <w:rFonts w:asciiTheme="majorHAnsi" w:hAnsiTheme="majorHAnsi" w:cs="TT1A7t00"/>
                <w:b/>
                <w:sz w:val="14"/>
                <w:szCs w:val="14"/>
              </w:rPr>
            </w:pPr>
            <w:r w:rsidRPr="0041175A">
              <w:rPr>
                <w:rFonts w:asciiTheme="majorHAnsi" w:hAnsiTheme="majorHAnsi" w:cs="TT1A7t00"/>
                <w:b/>
                <w:sz w:val="14"/>
                <w:szCs w:val="14"/>
              </w:rPr>
              <w:t>16</w:t>
            </w:r>
          </w:p>
        </w:tc>
        <w:tc>
          <w:tcPr>
            <w:tcW w:w="810" w:type="dxa"/>
            <w:shd w:val="clear" w:color="auto" w:fill="auto"/>
            <w:vAlign w:val="center"/>
          </w:tcPr>
          <w:p w:rsidR="00635E1E" w:rsidRPr="0041175A" w:rsidRDefault="00635E1E" w:rsidP="002E6687">
            <w:pPr>
              <w:pStyle w:val="NoSpacing"/>
              <w:jc w:val="center"/>
              <w:rPr>
                <w:rFonts w:asciiTheme="majorHAnsi" w:hAnsiTheme="majorHAnsi"/>
                <w:b/>
                <w:sz w:val="14"/>
                <w:szCs w:val="14"/>
              </w:rPr>
            </w:pPr>
            <w:r w:rsidRPr="0041175A">
              <w:rPr>
                <w:rFonts w:asciiTheme="majorHAnsi" w:hAnsiTheme="majorHAnsi"/>
                <w:b/>
                <w:sz w:val="14"/>
                <w:szCs w:val="14"/>
              </w:rPr>
              <w:t>17</w:t>
            </w:r>
          </w:p>
        </w:tc>
      </w:tr>
      <w:tr w:rsidR="00635E1E" w:rsidRPr="0041175A" w:rsidTr="002E6687">
        <w:trPr>
          <w:trHeight w:val="368"/>
        </w:trPr>
        <w:tc>
          <w:tcPr>
            <w:tcW w:w="810" w:type="dxa"/>
            <w:shd w:val="clear" w:color="auto" w:fill="auto"/>
          </w:tcPr>
          <w:p w:rsidR="00635E1E" w:rsidRPr="0041175A" w:rsidRDefault="00635E1E" w:rsidP="002E6687">
            <w:pPr>
              <w:pStyle w:val="NoSpacing"/>
              <w:rPr>
                <w:rFonts w:asciiTheme="majorHAnsi" w:hAnsiTheme="majorHAnsi"/>
                <w:sz w:val="14"/>
                <w:szCs w:val="14"/>
              </w:rPr>
            </w:pPr>
          </w:p>
        </w:tc>
        <w:tc>
          <w:tcPr>
            <w:tcW w:w="900" w:type="dxa"/>
            <w:shd w:val="clear" w:color="auto" w:fill="auto"/>
          </w:tcPr>
          <w:p w:rsidR="00635E1E" w:rsidRPr="0041175A" w:rsidRDefault="00635E1E" w:rsidP="002E6687">
            <w:pPr>
              <w:pStyle w:val="NoSpacing"/>
              <w:rPr>
                <w:rFonts w:asciiTheme="majorHAnsi" w:hAnsiTheme="majorHAnsi"/>
                <w:sz w:val="14"/>
                <w:szCs w:val="14"/>
              </w:rPr>
            </w:pPr>
          </w:p>
        </w:tc>
        <w:tc>
          <w:tcPr>
            <w:tcW w:w="900" w:type="dxa"/>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720" w:type="dxa"/>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cs="TT1A7t00"/>
                <w:sz w:val="14"/>
                <w:szCs w:val="14"/>
              </w:rPr>
            </w:pPr>
          </w:p>
        </w:tc>
        <w:tc>
          <w:tcPr>
            <w:tcW w:w="630" w:type="dxa"/>
            <w:shd w:val="clear" w:color="auto" w:fill="auto"/>
          </w:tcPr>
          <w:p w:rsidR="00635E1E" w:rsidRPr="0041175A" w:rsidRDefault="00635E1E" w:rsidP="002E6687">
            <w:pPr>
              <w:pStyle w:val="NoSpacing"/>
              <w:rPr>
                <w:rFonts w:asciiTheme="majorHAnsi" w:hAnsiTheme="majorHAnsi" w:cs="TT1A7t00"/>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720" w:type="dxa"/>
            <w:shd w:val="clear" w:color="auto" w:fill="auto"/>
          </w:tcPr>
          <w:p w:rsidR="00635E1E" w:rsidRPr="0041175A" w:rsidRDefault="00635E1E" w:rsidP="002E6687">
            <w:pPr>
              <w:pStyle w:val="NoSpacing"/>
              <w:rPr>
                <w:rFonts w:asciiTheme="majorHAnsi" w:hAnsiTheme="majorHAnsi"/>
                <w:sz w:val="14"/>
                <w:szCs w:val="14"/>
              </w:rPr>
            </w:pPr>
          </w:p>
        </w:tc>
        <w:tc>
          <w:tcPr>
            <w:tcW w:w="720" w:type="dxa"/>
            <w:shd w:val="clear" w:color="auto" w:fill="auto"/>
          </w:tcPr>
          <w:p w:rsidR="00635E1E" w:rsidRPr="0041175A" w:rsidRDefault="00635E1E" w:rsidP="002E6687">
            <w:pPr>
              <w:pStyle w:val="NoSpacing"/>
              <w:rPr>
                <w:rFonts w:asciiTheme="majorHAnsi" w:hAnsiTheme="majorHAnsi"/>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63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p>
        </w:tc>
        <w:tc>
          <w:tcPr>
            <w:tcW w:w="450" w:type="dxa"/>
            <w:shd w:val="clear" w:color="auto" w:fill="auto"/>
          </w:tcPr>
          <w:p w:rsidR="00635E1E" w:rsidRPr="0041175A" w:rsidRDefault="00635E1E" w:rsidP="002E6687">
            <w:pPr>
              <w:pStyle w:val="NoSpacing"/>
              <w:rPr>
                <w:rFonts w:asciiTheme="majorHAnsi" w:hAnsiTheme="majorHAnsi"/>
                <w:sz w:val="14"/>
                <w:szCs w:val="14"/>
              </w:rPr>
            </w:pPr>
          </w:p>
        </w:tc>
        <w:tc>
          <w:tcPr>
            <w:tcW w:w="540" w:type="dxa"/>
            <w:shd w:val="clear" w:color="auto" w:fill="auto"/>
          </w:tcPr>
          <w:p w:rsidR="00635E1E" w:rsidRPr="0041175A" w:rsidRDefault="00635E1E" w:rsidP="002E6687">
            <w:pPr>
              <w:autoSpaceDE w:val="0"/>
              <w:autoSpaceDN w:val="0"/>
              <w:adjustRightInd w:val="0"/>
              <w:rPr>
                <w:rFonts w:asciiTheme="majorHAnsi" w:hAnsiTheme="majorHAnsi" w:cs="TT1A7t00"/>
                <w:sz w:val="14"/>
                <w:szCs w:val="14"/>
              </w:rPr>
            </w:pPr>
          </w:p>
        </w:tc>
        <w:tc>
          <w:tcPr>
            <w:tcW w:w="810" w:type="dxa"/>
            <w:shd w:val="clear" w:color="auto" w:fill="auto"/>
          </w:tcPr>
          <w:p w:rsidR="00635E1E" w:rsidRPr="0041175A" w:rsidRDefault="00635E1E" w:rsidP="002E6687">
            <w:pPr>
              <w:pStyle w:val="NoSpacing"/>
              <w:rPr>
                <w:rFonts w:asciiTheme="majorHAnsi" w:hAnsiTheme="majorHAnsi"/>
                <w:sz w:val="14"/>
                <w:szCs w:val="14"/>
              </w:rPr>
            </w:pPr>
          </w:p>
        </w:tc>
      </w:tr>
    </w:tbl>
    <w:p w:rsidR="00635E1E" w:rsidRPr="0041175A" w:rsidRDefault="00635E1E" w:rsidP="00635E1E">
      <w:pPr>
        <w:autoSpaceDE w:val="0"/>
        <w:autoSpaceDN w:val="0"/>
        <w:adjustRightInd w:val="0"/>
        <w:jc w:val="both"/>
        <w:rPr>
          <w:rFonts w:asciiTheme="majorHAnsi" w:hAnsiTheme="majorHAnsi" w:cs="TT1A9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9t00"/>
          <w:b/>
        </w:rPr>
        <w:t>Note:</w:t>
      </w:r>
      <w:r w:rsidRPr="0041175A">
        <w:rPr>
          <w:rFonts w:asciiTheme="majorHAnsi" w:hAnsiTheme="majorHAnsi" w:cs="TT1A9t00"/>
        </w:rPr>
        <w:t xml:space="preserve"> </w:t>
      </w:r>
      <w:r w:rsidRPr="0041175A">
        <w:rPr>
          <w:rFonts w:asciiTheme="majorHAnsi" w:hAnsiTheme="majorHAnsi" w:cs="TT1A7t00"/>
          <w:i/>
        </w:rPr>
        <w:t>“Securities” shall have the meaning as defined under regulation 2(1</w:t>
      </w:r>
      <w:proofErr w:type="gramStart"/>
      <w:r w:rsidRPr="0041175A">
        <w:rPr>
          <w:rFonts w:asciiTheme="majorHAnsi" w:hAnsiTheme="majorHAnsi" w:cs="TT1A7t00"/>
          <w:i/>
        </w:rPr>
        <w:t>)(</w:t>
      </w:r>
      <w:proofErr w:type="gramEnd"/>
      <w:r w:rsidRPr="0041175A">
        <w:rPr>
          <w:rFonts w:asciiTheme="majorHAnsi" w:hAnsiTheme="majorHAnsi" w:cs="TT1A7t00"/>
          <w:i/>
        </w:rPr>
        <w:t>i) of SEBI (Prohibition of Insider Trading) Regulations, 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 xml:space="preserve">Date: </w:t>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t>Signature</w:t>
      </w: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 xml:space="preserve">Place: </w:t>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t>Designation</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br w:type="page"/>
      </w:r>
      <w:r w:rsidRPr="0041175A">
        <w:rPr>
          <w:rFonts w:asciiTheme="majorHAnsi" w:hAnsiTheme="majorHAnsi" w:cs="TT1A9t00"/>
          <w:b/>
        </w:rPr>
        <w:lastRenderedPageBreak/>
        <w:t>FORM V</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Securities and Exchange Board of India (Prohibition of Insider Trading) Regulations, 2015</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TRANSACTIONS BY DESIGNATED PERSONS AS IDENTIFIED BY THE COMPANY</w:t>
      </w:r>
    </w:p>
    <w:p w:rsidR="00FF32EF" w:rsidRDefault="00635E1E" w:rsidP="00FF32EF">
      <w:pPr>
        <w:autoSpaceDE w:val="0"/>
        <w:autoSpaceDN w:val="0"/>
        <w:adjustRightInd w:val="0"/>
        <w:jc w:val="center"/>
        <w:rPr>
          <w:rFonts w:asciiTheme="majorHAnsi" w:hAnsiTheme="majorHAnsi" w:cs="TT1A9t00"/>
          <w:b/>
        </w:rPr>
      </w:pPr>
      <w:r w:rsidRPr="0041175A">
        <w:rPr>
          <w:rFonts w:asciiTheme="majorHAnsi" w:hAnsiTheme="majorHAnsi" w:cs="TT1A9t00"/>
          <w:b/>
        </w:rPr>
        <w:t xml:space="preserve">[Clause 13(2) of </w:t>
      </w:r>
      <w:r w:rsidR="00FF32EF" w:rsidRPr="00FF32EF">
        <w:rPr>
          <w:rFonts w:asciiTheme="majorHAnsi" w:hAnsiTheme="majorHAnsi" w:cs="TT1A9t00"/>
          <w:b/>
        </w:rPr>
        <w:t>Machino Plastics Limited</w:t>
      </w:r>
      <w:r w:rsidR="00FF32EF" w:rsidRPr="0041175A">
        <w:rPr>
          <w:rFonts w:asciiTheme="majorHAnsi" w:hAnsiTheme="majorHAnsi" w:cs="TT1A9t00"/>
          <w:b/>
        </w:rPr>
        <w:t xml:space="preserve"> </w:t>
      </w:r>
    </w:p>
    <w:p w:rsidR="00635E1E" w:rsidRPr="0041175A" w:rsidRDefault="00635E1E" w:rsidP="00635E1E">
      <w:pPr>
        <w:autoSpaceDE w:val="0"/>
        <w:autoSpaceDN w:val="0"/>
        <w:adjustRightInd w:val="0"/>
        <w:jc w:val="center"/>
        <w:rPr>
          <w:rFonts w:asciiTheme="majorHAnsi" w:hAnsiTheme="majorHAnsi" w:cs="TT1A9t00"/>
          <w:b/>
        </w:rPr>
      </w:pPr>
      <w:r w:rsidRPr="0041175A">
        <w:rPr>
          <w:rFonts w:asciiTheme="majorHAnsi" w:hAnsiTheme="majorHAnsi" w:cs="TT1A9t00"/>
          <w:b/>
        </w:rPr>
        <w:t>: Code of Conduct to Regulate, Monitor and Report Trading by Insiders]</w:t>
      </w:r>
    </w:p>
    <w:p w:rsidR="00635E1E" w:rsidRPr="0041175A" w:rsidRDefault="00635E1E" w:rsidP="00635E1E">
      <w:pPr>
        <w:autoSpaceDE w:val="0"/>
        <w:autoSpaceDN w:val="0"/>
        <w:adjustRightInd w:val="0"/>
        <w:jc w:val="center"/>
        <w:rPr>
          <w:rFonts w:asciiTheme="majorHAnsi" w:hAnsiTheme="majorHAnsi" w:cs="TT1A9t00"/>
          <w:b/>
        </w:rPr>
      </w:pPr>
    </w:p>
    <w:p w:rsidR="00635E1E" w:rsidRPr="0041175A" w:rsidRDefault="00635E1E" w:rsidP="00635E1E">
      <w:pPr>
        <w:jc w:val="center"/>
        <w:rPr>
          <w:rFonts w:asciiTheme="majorHAnsi" w:hAnsiTheme="majorHAnsi" w:cs="TT1A7t00"/>
          <w:b/>
        </w:rPr>
      </w:pPr>
      <w:r w:rsidRPr="0041175A">
        <w:rPr>
          <w:rFonts w:asciiTheme="majorHAnsi" w:hAnsiTheme="majorHAnsi" w:cs="TT1A9t00"/>
          <w:b/>
        </w:rPr>
        <w:t>Details of transactions executed during the Financial Year ___ in securities of the Company</w:t>
      </w:r>
    </w:p>
    <w:p w:rsidR="00635E1E" w:rsidRPr="0041175A" w:rsidRDefault="00635E1E" w:rsidP="00635E1E">
      <w:pPr>
        <w:autoSpaceDE w:val="0"/>
        <w:autoSpaceDN w:val="0"/>
        <w:adjustRightInd w:val="0"/>
        <w:rPr>
          <w:rFonts w:asciiTheme="majorHAnsi" w:hAnsiTheme="majorHAnsi" w:cs="TT1A9t00"/>
        </w:rPr>
      </w:pPr>
      <w:r w:rsidRPr="0041175A">
        <w:rPr>
          <w:rFonts w:asciiTheme="majorHAnsi" w:hAnsiTheme="majorHAnsi" w:cs="TT1A9t00"/>
        </w:rPr>
        <w:t>Date____</w:t>
      </w:r>
    </w:p>
    <w:p w:rsidR="00635E1E" w:rsidRPr="0041175A" w:rsidRDefault="00635E1E" w:rsidP="00635E1E">
      <w:pPr>
        <w:autoSpaceDE w:val="0"/>
        <w:autoSpaceDN w:val="0"/>
        <w:adjustRightInd w:val="0"/>
        <w:rPr>
          <w:rFonts w:asciiTheme="majorHAnsi" w:hAnsiTheme="majorHAnsi" w:cs="TT1A9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Compliance Officer,</w:t>
      </w:r>
    </w:p>
    <w:p w:rsidR="00635E1E" w:rsidRDefault="00FF32EF" w:rsidP="00635E1E">
      <w:pPr>
        <w:autoSpaceDE w:val="0"/>
        <w:autoSpaceDN w:val="0"/>
        <w:adjustRightInd w:val="0"/>
        <w:rPr>
          <w:rFonts w:asciiTheme="majorHAnsi" w:hAnsiTheme="majorHAnsi" w:cs="TT1A7t00"/>
        </w:rPr>
      </w:pPr>
      <w:r>
        <w:rPr>
          <w:rFonts w:asciiTheme="majorHAnsi" w:hAnsiTheme="majorHAnsi" w:cs="TT1A7t00"/>
        </w:rPr>
        <w:t>Machino Plastics Limited</w:t>
      </w:r>
    </w:p>
    <w:p w:rsidR="00FF32EF" w:rsidRDefault="00FF32EF" w:rsidP="00635E1E">
      <w:pPr>
        <w:autoSpaceDE w:val="0"/>
        <w:autoSpaceDN w:val="0"/>
        <w:adjustRightInd w:val="0"/>
        <w:rPr>
          <w:rFonts w:asciiTheme="majorHAnsi" w:hAnsiTheme="majorHAnsi" w:cs="TT1A7t00"/>
        </w:rPr>
      </w:pPr>
      <w:r>
        <w:rPr>
          <w:rFonts w:asciiTheme="majorHAnsi" w:hAnsiTheme="majorHAnsi" w:cs="TT1A7t00"/>
        </w:rPr>
        <w:t>3, Maruti Joint Venture Complex,</w:t>
      </w:r>
    </w:p>
    <w:p w:rsidR="00FF32EF" w:rsidRPr="0041175A" w:rsidRDefault="00FF32EF" w:rsidP="00635E1E">
      <w:pPr>
        <w:autoSpaceDE w:val="0"/>
        <w:autoSpaceDN w:val="0"/>
        <w:adjustRightInd w:val="0"/>
        <w:rPr>
          <w:rFonts w:asciiTheme="majorHAnsi" w:hAnsiTheme="majorHAnsi" w:cs="TT1A7t00"/>
        </w:rPr>
      </w:pPr>
      <w:r>
        <w:rPr>
          <w:rFonts w:asciiTheme="majorHAnsi" w:hAnsiTheme="majorHAnsi" w:cs="TT1A7t00"/>
        </w:rPr>
        <w:t>Gurgaon - 122015</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Dear Sir,</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 ……………………………</w:t>
      </w:r>
      <w:proofErr w:type="gramStart"/>
      <w:r w:rsidRPr="0041175A">
        <w:rPr>
          <w:rFonts w:asciiTheme="majorHAnsi" w:hAnsiTheme="majorHAnsi" w:cs="TT1A7t00"/>
        </w:rPr>
        <w:t>…(</w:t>
      </w:r>
      <w:proofErr w:type="gramEnd"/>
      <w:r w:rsidRPr="0041175A">
        <w:rPr>
          <w:rFonts w:asciiTheme="majorHAnsi" w:hAnsiTheme="majorHAnsi" w:cs="TT1A7t00"/>
        </w:rPr>
        <w:t>name of the Designated Person),……………. (</w:t>
      </w:r>
      <w:proofErr w:type="gramStart"/>
      <w:r w:rsidRPr="0041175A">
        <w:rPr>
          <w:rFonts w:asciiTheme="majorHAnsi" w:hAnsiTheme="majorHAnsi" w:cs="TT1A7t00"/>
        </w:rPr>
        <w:t>designation</w:t>
      </w:r>
      <w:proofErr w:type="gramEnd"/>
      <w:r w:rsidRPr="0041175A">
        <w:rPr>
          <w:rFonts w:asciiTheme="majorHAnsi" w:hAnsiTheme="majorHAnsi" w:cs="TT1A7t00"/>
        </w:rPr>
        <w:t>) of the Company residing at ……………………………..(address of the Designated Person) hereby declare that –</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 xml:space="preserve">*1. The quarterly disclosures made by me in Form IV to the Company was/were a true and complete disclosure of transaction(s) made by me during the </w:t>
      </w:r>
      <w:proofErr w:type="gramStart"/>
      <w:r w:rsidRPr="0041175A">
        <w:rPr>
          <w:rFonts w:asciiTheme="majorHAnsi" w:hAnsiTheme="majorHAnsi" w:cs="TT1A7t00"/>
        </w:rPr>
        <w:t>Financial</w:t>
      </w:r>
      <w:proofErr w:type="gramEnd"/>
      <w:r w:rsidRPr="0041175A">
        <w:rPr>
          <w:rFonts w:asciiTheme="majorHAnsi" w:hAnsiTheme="majorHAnsi" w:cs="TT1A7t00"/>
        </w:rPr>
        <w:t xml:space="preserve"> year ___.</w:t>
      </w:r>
    </w:p>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In accordance with the quarterly disclosures made by me, the following is the consolidated statement of transactions made during the Financial Year ____</w:t>
      </w:r>
    </w:p>
    <w:p w:rsidR="00635E1E" w:rsidRPr="0041175A" w:rsidRDefault="00635E1E" w:rsidP="00635E1E">
      <w:pPr>
        <w:autoSpaceDE w:val="0"/>
        <w:autoSpaceDN w:val="0"/>
        <w:adjustRightInd w:val="0"/>
        <w:jc w:val="both"/>
        <w:rPr>
          <w:rFonts w:asciiTheme="majorHAnsi" w:hAnsiTheme="majorHAnsi" w:cs="TT1A7t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230"/>
        <w:gridCol w:w="2898"/>
      </w:tblGrid>
      <w:tr w:rsidR="00635E1E" w:rsidRPr="0041175A" w:rsidTr="002E6687">
        <w:tc>
          <w:tcPr>
            <w:tcW w:w="306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Opening balance of securities</w:t>
            </w:r>
          </w:p>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of the Company held as on ________</w:t>
            </w:r>
          </w:p>
        </w:tc>
        <w:tc>
          <w:tcPr>
            <w:tcW w:w="4230"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Purchase/Sale made during the year</w:t>
            </w:r>
          </w:p>
        </w:tc>
        <w:tc>
          <w:tcPr>
            <w:tcW w:w="2898" w:type="dxa"/>
            <w:shd w:val="clear" w:color="auto" w:fill="auto"/>
          </w:tcPr>
          <w:p w:rsidR="00635E1E" w:rsidRPr="0041175A" w:rsidRDefault="00635E1E" w:rsidP="002E6687">
            <w:pPr>
              <w:autoSpaceDE w:val="0"/>
              <w:autoSpaceDN w:val="0"/>
              <w:adjustRightInd w:val="0"/>
              <w:rPr>
                <w:rFonts w:asciiTheme="majorHAnsi" w:hAnsiTheme="majorHAnsi" w:cs="TT1A7t00"/>
              </w:rPr>
            </w:pPr>
            <w:r w:rsidRPr="0041175A">
              <w:rPr>
                <w:rFonts w:asciiTheme="majorHAnsi" w:hAnsiTheme="majorHAnsi" w:cs="TT1A7t00"/>
              </w:rPr>
              <w:t>Closing balance of securities of the Company held as on</w:t>
            </w:r>
          </w:p>
          <w:p w:rsidR="00635E1E" w:rsidRPr="0041175A" w:rsidRDefault="00635E1E" w:rsidP="002E6687">
            <w:pPr>
              <w:autoSpaceDE w:val="0"/>
              <w:autoSpaceDN w:val="0"/>
              <w:adjustRightInd w:val="0"/>
              <w:jc w:val="both"/>
              <w:rPr>
                <w:rFonts w:asciiTheme="majorHAnsi" w:hAnsiTheme="majorHAnsi" w:cs="TT1A7t00"/>
              </w:rPr>
            </w:pPr>
            <w:r w:rsidRPr="0041175A">
              <w:rPr>
                <w:rFonts w:asciiTheme="majorHAnsi" w:hAnsiTheme="majorHAnsi" w:cs="TT1A7t00"/>
              </w:rPr>
              <w:t>____________</w:t>
            </w:r>
          </w:p>
        </w:tc>
      </w:tr>
      <w:tr w:rsidR="00635E1E" w:rsidRPr="0041175A" w:rsidTr="002E6687">
        <w:tc>
          <w:tcPr>
            <w:tcW w:w="306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c>
          <w:tcPr>
            <w:tcW w:w="4230"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tc>
        <w:tc>
          <w:tcPr>
            <w:tcW w:w="2898" w:type="dxa"/>
            <w:shd w:val="clear" w:color="auto" w:fill="auto"/>
          </w:tcPr>
          <w:p w:rsidR="00635E1E" w:rsidRPr="0041175A" w:rsidRDefault="00635E1E" w:rsidP="002E6687">
            <w:pPr>
              <w:autoSpaceDE w:val="0"/>
              <w:autoSpaceDN w:val="0"/>
              <w:adjustRightInd w:val="0"/>
              <w:jc w:val="both"/>
              <w:rPr>
                <w:rFonts w:asciiTheme="majorHAnsi" w:hAnsiTheme="majorHAnsi" w:cs="TT1A7t00"/>
              </w:rPr>
            </w:pPr>
          </w:p>
          <w:p w:rsidR="00635E1E" w:rsidRPr="0041175A" w:rsidRDefault="00635E1E" w:rsidP="00635E1E">
            <w:pPr>
              <w:tabs>
                <w:tab w:val="left" w:pos="1890"/>
              </w:tabs>
              <w:autoSpaceDE w:val="0"/>
              <w:autoSpaceDN w:val="0"/>
              <w:adjustRightInd w:val="0"/>
              <w:jc w:val="both"/>
              <w:rPr>
                <w:rFonts w:asciiTheme="majorHAnsi" w:hAnsiTheme="majorHAnsi" w:cs="TT1A7t00"/>
              </w:rPr>
            </w:pPr>
            <w:r w:rsidRPr="0041175A">
              <w:rPr>
                <w:rFonts w:asciiTheme="majorHAnsi" w:hAnsiTheme="majorHAnsi" w:cs="TT1A7t00"/>
              </w:rPr>
              <w:tab/>
            </w:r>
          </w:p>
        </w:tc>
      </w:tr>
    </w:tbl>
    <w:p w:rsidR="00635E1E" w:rsidRPr="0041175A" w:rsidRDefault="00635E1E" w:rsidP="00635E1E">
      <w:pPr>
        <w:autoSpaceDE w:val="0"/>
        <w:autoSpaceDN w:val="0"/>
        <w:adjustRightInd w:val="0"/>
        <w:jc w:val="both"/>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jc w:val="both"/>
        <w:rPr>
          <w:rFonts w:asciiTheme="majorHAnsi" w:hAnsiTheme="majorHAnsi" w:cs="TT1A7t00"/>
        </w:rPr>
      </w:pPr>
      <w:r w:rsidRPr="0041175A">
        <w:rPr>
          <w:rFonts w:asciiTheme="majorHAnsi" w:hAnsiTheme="majorHAnsi" w:cs="TT1A7t00"/>
        </w:rPr>
        <w:t>*I was holding ………………… (</w:t>
      </w:r>
      <w:proofErr w:type="gramStart"/>
      <w:r w:rsidRPr="0041175A">
        <w:rPr>
          <w:rFonts w:asciiTheme="majorHAnsi" w:hAnsiTheme="majorHAnsi" w:cs="TT1A7t00"/>
        </w:rPr>
        <w:t>number</w:t>
      </w:r>
      <w:proofErr w:type="gramEnd"/>
      <w:r w:rsidRPr="0041175A">
        <w:rPr>
          <w:rFonts w:asciiTheme="majorHAnsi" w:hAnsiTheme="majorHAnsi" w:cs="TT1A7t00"/>
        </w:rPr>
        <w:t xml:space="preserve"> of securities) securities of the Company on 01 April 20……………….(start of the financial year). However, I have not traded in securities of the Company during the Financial Year ended 31 March 20……</w:t>
      </w:r>
      <w:proofErr w:type="gramStart"/>
      <w:r w:rsidRPr="0041175A">
        <w:rPr>
          <w:rFonts w:asciiTheme="majorHAnsi" w:hAnsiTheme="majorHAnsi" w:cs="TT1A7t00"/>
        </w:rPr>
        <w:t>…(</w:t>
      </w:r>
      <w:proofErr w:type="gramEnd"/>
      <w:r w:rsidRPr="0041175A">
        <w:rPr>
          <w:rFonts w:asciiTheme="majorHAnsi" w:hAnsiTheme="majorHAnsi" w:cs="TT1A7t00"/>
        </w:rPr>
        <w:t>end of the financial year).</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 xml:space="preserve">Date: </w:t>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t>Signature</w:t>
      </w:r>
    </w:p>
    <w:p w:rsidR="00635E1E" w:rsidRPr="0041175A" w:rsidRDefault="00635E1E" w:rsidP="00635E1E">
      <w:pPr>
        <w:autoSpaceDE w:val="0"/>
        <w:autoSpaceDN w:val="0"/>
        <w:adjustRightInd w:val="0"/>
        <w:rPr>
          <w:rFonts w:asciiTheme="majorHAnsi" w:hAnsiTheme="majorHAnsi" w:cs="TT1A7t00"/>
        </w:rPr>
      </w:pPr>
      <w:r w:rsidRPr="0041175A">
        <w:rPr>
          <w:rFonts w:asciiTheme="majorHAnsi" w:hAnsiTheme="majorHAnsi" w:cs="TT1A7t00"/>
        </w:rPr>
        <w:t xml:space="preserve">Place: </w:t>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r>
      <w:r w:rsidRPr="0041175A">
        <w:rPr>
          <w:rFonts w:asciiTheme="majorHAnsi" w:hAnsiTheme="majorHAnsi" w:cs="TT1A7t00"/>
        </w:rPr>
        <w:tab/>
        <w:t>Designation</w:t>
      </w:r>
    </w:p>
    <w:p w:rsidR="00635E1E" w:rsidRPr="0041175A" w:rsidRDefault="00635E1E" w:rsidP="00635E1E">
      <w:pPr>
        <w:autoSpaceDE w:val="0"/>
        <w:autoSpaceDN w:val="0"/>
        <w:adjustRightInd w:val="0"/>
        <w:rPr>
          <w:rFonts w:asciiTheme="majorHAnsi" w:hAnsiTheme="majorHAnsi" w:cs="TT1A7t00"/>
        </w:rPr>
      </w:pPr>
    </w:p>
    <w:p w:rsidR="00635E1E" w:rsidRPr="0041175A" w:rsidRDefault="00635E1E" w:rsidP="00635E1E">
      <w:pPr>
        <w:autoSpaceDE w:val="0"/>
        <w:autoSpaceDN w:val="0"/>
        <w:adjustRightInd w:val="0"/>
        <w:rPr>
          <w:rFonts w:asciiTheme="majorHAnsi" w:hAnsiTheme="majorHAnsi" w:cs="TT1A7t00"/>
          <w:i/>
        </w:rPr>
      </w:pPr>
    </w:p>
    <w:p w:rsidR="00635E1E" w:rsidRPr="0041175A" w:rsidRDefault="00635E1E" w:rsidP="00635E1E">
      <w:pPr>
        <w:autoSpaceDE w:val="0"/>
        <w:autoSpaceDN w:val="0"/>
        <w:adjustRightInd w:val="0"/>
        <w:rPr>
          <w:rFonts w:asciiTheme="majorHAnsi" w:hAnsiTheme="majorHAnsi" w:cs="TT1A7t00"/>
          <w:i/>
        </w:rPr>
      </w:pPr>
    </w:p>
    <w:p w:rsidR="00635E1E" w:rsidRPr="0041175A" w:rsidRDefault="00635E1E" w:rsidP="00635E1E">
      <w:pPr>
        <w:rPr>
          <w:rFonts w:asciiTheme="majorHAnsi" w:hAnsiTheme="majorHAnsi" w:cs="TT1A7t00"/>
        </w:rPr>
      </w:pPr>
      <w:r w:rsidRPr="0041175A">
        <w:rPr>
          <w:rFonts w:asciiTheme="majorHAnsi" w:hAnsiTheme="majorHAnsi" w:cs="TT1A7t00"/>
          <w:i/>
        </w:rPr>
        <w:t>* Please delete/modify as per the factual position.</w:t>
      </w:r>
    </w:p>
    <w:p w:rsidR="00635E1E" w:rsidRPr="0041175A" w:rsidRDefault="00635E1E" w:rsidP="00635E1E">
      <w:pPr>
        <w:rPr>
          <w:rFonts w:asciiTheme="majorHAnsi" w:hAnsiTheme="majorHAnsi"/>
        </w:rPr>
      </w:pPr>
    </w:p>
    <w:p w:rsidR="005200FF" w:rsidRPr="0041175A" w:rsidRDefault="005200FF">
      <w:pPr>
        <w:rPr>
          <w:rFonts w:asciiTheme="majorHAnsi" w:hAnsiTheme="majorHAnsi"/>
        </w:rPr>
      </w:pPr>
    </w:p>
    <w:sectPr w:rsidR="005200FF" w:rsidRPr="0041175A" w:rsidSect="00A0319B">
      <w:headerReference w:type="default" r:id="rId8"/>
      <w:footerReference w:type="default" r:id="rId9"/>
      <w:pgSz w:w="12240" w:h="15840"/>
      <w:pgMar w:top="1260" w:right="1170" w:bottom="1440"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86" w:rsidRDefault="00071C86" w:rsidP="00635E1E">
      <w:r>
        <w:separator/>
      </w:r>
    </w:p>
  </w:endnote>
  <w:endnote w:type="continuationSeparator" w:id="0">
    <w:p w:rsidR="00071C86" w:rsidRDefault="00071C86" w:rsidP="0063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T1A9t00">
    <w:panose1 w:val="00000000000000000000"/>
    <w:charset w:val="00"/>
    <w:family w:val="auto"/>
    <w:notTrueType/>
    <w:pitch w:val="default"/>
    <w:sig w:usb0="00000003" w:usb1="00000000" w:usb2="00000000" w:usb3="00000000" w:csb0="00000001" w:csb1="00000000"/>
  </w:font>
  <w:font w:name="TT1A7t00">
    <w:panose1 w:val="00000000000000000000"/>
    <w:charset w:val="00"/>
    <w:family w:val="auto"/>
    <w:notTrueType/>
    <w:pitch w:val="default"/>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0000"/>
      <w:docPartObj>
        <w:docPartGallery w:val="Page Numbers (Bottom of Page)"/>
        <w:docPartUnique/>
      </w:docPartObj>
    </w:sdtPr>
    <w:sdtEndPr>
      <w:rPr>
        <w:noProof/>
      </w:rPr>
    </w:sdtEndPr>
    <w:sdtContent>
      <w:p w:rsidR="00A0319B" w:rsidRDefault="00071C86">
        <w:pPr>
          <w:pStyle w:val="Footer"/>
          <w:jc w:val="right"/>
        </w:pPr>
        <w:r>
          <w:fldChar w:fldCharType="begin"/>
        </w:r>
        <w:r>
          <w:instrText xml:space="preserve"> PAGE   \* MERGEFORMAT </w:instrText>
        </w:r>
        <w:r>
          <w:fldChar w:fldCharType="separate"/>
        </w:r>
        <w:r w:rsidR="00B734CA">
          <w:rPr>
            <w:noProof/>
          </w:rPr>
          <w:t>16</w:t>
        </w:r>
        <w:r>
          <w:rPr>
            <w:noProof/>
          </w:rPr>
          <w:fldChar w:fldCharType="end"/>
        </w:r>
      </w:p>
    </w:sdtContent>
  </w:sdt>
  <w:p w:rsidR="00A0319B" w:rsidRDefault="0007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86" w:rsidRDefault="00071C86" w:rsidP="00635E1E">
      <w:r>
        <w:separator/>
      </w:r>
    </w:p>
  </w:footnote>
  <w:footnote w:type="continuationSeparator" w:id="0">
    <w:p w:rsidR="00071C86" w:rsidRDefault="00071C86" w:rsidP="0063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9B" w:rsidRDefault="00071C86" w:rsidP="00BF5C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36C"/>
    <w:multiLevelType w:val="hybridMultilevel"/>
    <w:tmpl w:val="A0DEF584"/>
    <w:lvl w:ilvl="0" w:tplc="7616A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4AEE"/>
    <w:multiLevelType w:val="hybridMultilevel"/>
    <w:tmpl w:val="2F7624D6"/>
    <w:lvl w:ilvl="0" w:tplc="5BAEB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27E55"/>
    <w:multiLevelType w:val="hybridMultilevel"/>
    <w:tmpl w:val="B2A60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4D52F0"/>
    <w:multiLevelType w:val="hybridMultilevel"/>
    <w:tmpl w:val="033C7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F79F2"/>
    <w:multiLevelType w:val="hybridMultilevel"/>
    <w:tmpl w:val="3C5CF2CA"/>
    <w:lvl w:ilvl="0" w:tplc="E69EFF6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0945406"/>
    <w:multiLevelType w:val="hybridMultilevel"/>
    <w:tmpl w:val="03E83888"/>
    <w:lvl w:ilvl="0" w:tplc="2AAC9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51D57"/>
    <w:multiLevelType w:val="hybridMultilevel"/>
    <w:tmpl w:val="C096BAA2"/>
    <w:lvl w:ilvl="0" w:tplc="439E5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3516B"/>
    <w:multiLevelType w:val="hybridMultilevel"/>
    <w:tmpl w:val="6BFAF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E24B4"/>
    <w:multiLevelType w:val="hybridMultilevel"/>
    <w:tmpl w:val="8E4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945FB"/>
    <w:multiLevelType w:val="hybridMultilevel"/>
    <w:tmpl w:val="CF92CF1A"/>
    <w:lvl w:ilvl="0" w:tplc="C3FE6492">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D77CA"/>
    <w:multiLevelType w:val="hybridMultilevel"/>
    <w:tmpl w:val="692EA882"/>
    <w:lvl w:ilvl="0" w:tplc="01F0AA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247CF"/>
    <w:multiLevelType w:val="hybridMultilevel"/>
    <w:tmpl w:val="DE2A9AC2"/>
    <w:lvl w:ilvl="0" w:tplc="8EBC576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10C1B"/>
    <w:multiLevelType w:val="multilevel"/>
    <w:tmpl w:val="F4E0BA4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34451A6"/>
    <w:multiLevelType w:val="hybridMultilevel"/>
    <w:tmpl w:val="B5366000"/>
    <w:lvl w:ilvl="0" w:tplc="87C86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F54AB"/>
    <w:multiLevelType w:val="hybridMultilevel"/>
    <w:tmpl w:val="EF2A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E1460"/>
    <w:multiLevelType w:val="hybridMultilevel"/>
    <w:tmpl w:val="D9120404"/>
    <w:lvl w:ilvl="0" w:tplc="FE5000F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CA0B57"/>
    <w:multiLevelType w:val="hybridMultilevel"/>
    <w:tmpl w:val="C35C140E"/>
    <w:lvl w:ilvl="0" w:tplc="D466D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261F5"/>
    <w:multiLevelType w:val="hybridMultilevel"/>
    <w:tmpl w:val="532AF72A"/>
    <w:lvl w:ilvl="0" w:tplc="242AA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959E1"/>
    <w:multiLevelType w:val="hybridMultilevel"/>
    <w:tmpl w:val="82E61A20"/>
    <w:lvl w:ilvl="0" w:tplc="4EE6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07EC4"/>
    <w:multiLevelType w:val="hybridMultilevel"/>
    <w:tmpl w:val="EE4E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D3FA4"/>
    <w:multiLevelType w:val="hybridMultilevel"/>
    <w:tmpl w:val="43FA1978"/>
    <w:lvl w:ilvl="0" w:tplc="21D2C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B300D"/>
    <w:multiLevelType w:val="hybridMultilevel"/>
    <w:tmpl w:val="438E023C"/>
    <w:lvl w:ilvl="0" w:tplc="8EBC576C">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495E5E"/>
    <w:multiLevelType w:val="hybridMultilevel"/>
    <w:tmpl w:val="2058338E"/>
    <w:lvl w:ilvl="0" w:tplc="8EBC576C">
      <w:start w:val="1"/>
      <w:numFmt w:val="lowerRoman"/>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C242223"/>
    <w:multiLevelType w:val="hybridMultilevel"/>
    <w:tmpl w:val="EA009D5E"/>
    <w:lvl w:ilvl="0" w:tplc="4C2CC8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A41C6"/>
    <w:multiLevelType w:val="hybridMultilevel"/>
    <w:tmpl w:val="D2E07F62"/>
    <w:lvl w:ilvl="0" w:tplc="E4BE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12943"/>
    <w:multiLevelType w:val="hybridMultilevel"/>
    <w:tmpl w:val="4D148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D4D74"/>
    <w:multiLevelType w:val="hybridMultilevel"/>
    <w:tmpl w:val="4C54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D25B58"/>
    <w:multiLevelType w:val="hybridMultilevel"/>
    <w:tmpl w:val="F32C9230"/>
    <w:lvl w:ilvl="0" w:tplc="8EBC576C">
      <w:start w:val="1"/>
      <w:numFmt w:val="lowerRoman"/>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9"/>
  </w:num>
  <w:num w:numId="2">
    <w:abstractNumId w:val="12"/>
  </w:num>
  <w:num w:numId="3">
    <w:abstractNumId w:val="10"/>
  </w:num>
  <w:num w:numId="4">
    <w:abstractNumId w:val="11"/>
  </w:num>
  <w:num w:numId="5">
    <w:abstractNumId w:val="15"/>
  </w:num>
  <w:num w:numId="6">
    <w:abstractNumId w:val="4"/>
  </w:num>
  <w:num w:numId="7">
    <w:abstractNumId w:val="27"/>
  </w:num>
  <w:num w:numId="8">
    <w:abstractNumId w:val="22"/>
  </w:num>
  <w:num w:numId="9">
    <w:abstractNumId w:val="7"/>
  </w:num>
  <w:num w:numId="10">
    <w:abstractNumId w:val="3"/>
  </w:num>
  <w:num w:numId="11">
    <w:abstractNumId w:val="21"/>
  </w:num>
  <w:num w:numId="12">
    <w:abstractNumId w:val="16"/>
  </w:num>
  <w:num w:numId="13">
    <w:abstractNumId w:val="0"/>
  </w:num>
  <w:num w:numId="14">
    <w:abstractNumId w:val="17"/>
  </w:num>
  <w:num w:numId="15">
    <w:abstractNumId w:val="1"/>
  </w:num>
  <w:num w:numId="16">
    <w:abstractNumId w:val="24"/>
  </w:num>
  <w:num w:numId="17">
    <w:abstractNumId w:val="23"/>
  </w:num>
  <w:num w:numId="18">
    <w:abstractNumId w:val="2"/>
  </w:num>
  <w:num w:numId="19">
    <w:abstractNumId w:val="26"/>
  </w:num>
  <w:num w:numId="20">
    <w:abstractNumId w:val="13"/>
  </w:num>
  <w:num w:numId="21">
    <w:abstractNumId w:val="14"/>
  </w:num>
  <w:num w:numId="22">
    <w:abstractNumId w:val="20"/>
  </w:num>
  <w:num w:numId="23">
    <w:abstractNumId w:val="5"/>
  </w:num>
  <w:num w:numId="24">
    <w:abstractNumId w:val="18"/>
  </w:num>
  <w:num w:numId="25">
    <w:abstractNumId w:val="6"/>
  </w:num>
  <w:num w:numId="26">
    <w:abstractNumId w:val="8"/>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C8"/>
    <w:rsid w:val="00071C86"/>
    <w:rsid w:val="000761C8"/>
    <w:rsid w:val="0041175A"/>
    <w:rsid w:val="005200FF"/>
    <w:rsid w:val="00635E1E"/>
    <w:rsid w:val="00765A51"/>
    <w:rsid w:val="00B734CA"/>
    <w:rsid w:val="00B935C5"/>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A51"/>
    <w:rPr>
      <w:rFonts w:ascii="Tahoma" w:hAnsi="Tahoma" w:cs="Tahoma"/>
      <w:sz w:val="16"/>
      <w:szCs w:val="16"/>
    </w:rPr>
  </w:style>
  <w:style w:type="character" w:customStyle="1" w:styleId="BalloonTextChar">
    <w:name w:val="Balloon Text Char"/>
    <w:basedOn w:val="DefaultParagraphFont"/>
    <w:link w:val="BalloonText"/>
    <w:uiPriority w:val="99"/>
    <w:semiHidden/>
    <w:rsid w:val="00765A51"/>
    <w:rPr>
      <w:rFonts w:ascii="Tahoma" w:hAnsi="Tahoma" w:cs="Tahoma"/>
      <w:sz w:val="16"/>
      <w:szCs w:val="16"/>
    </w:rPr>
  </w:style>
  <w:style w:type="paragraph" w:styleId="Header">
    <w:name w:val="header"/>
    <w:basedOn w:val="Normal"/>
    <w:link w:val="HeaderChar"/>
    <w:uiPriority w:val="99"/>
    <w:unhideWhenUsed/>
    <w:rsid w:val="00635E1E"/>
    <w:pPr>
      <w:tabs>
        <w:tab w:val="center" w:pos="4680"/>
        <w:tab w:val="right" w:pos="9360"/>
      </w:tabs>
    </w:pPr>
  </w:style>
  <w:style w:type="character" w:customStyle="1" w:styleId="HeaderChar">
    <w:name w:val="Header Char"/>
    <w:basedOn w:val="DefaultParagraphFont"/>
    <w:link w:val="Header"/>
    <w:uiPriority w:val="99"/>
    <w:rsid w:val="00635E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E1E"/>
    <w:pPr>
      <w:tabs>
        <w:tab w:val="center" w:pos="4680"/>
        <w:tab w:val="right" w:pos="9360"/>
      </w:tabs>
    </w:pPr>
  </w:style>
  <w:style w:type="character" w:customStyle="1" w:styleId="FooterChar">
    <w:name w:val="Footer Char"/>
    <w:basedOn w:val="DefaultParagraphFont"/>
    <w:link w:val="Footer"/>
    <w:uiPriority w:val="99"/>
    <w:rsid w:val="00635E1E"/>
    <w:rPr>
      <w:rFonts w:ascii="Times New Roman" w:eastAsia="Times New Roman" w:hAnsi="Times New Roman" w:cs="Times New Roman"/>
      <w:sz w:val="20"/>
      <w:szCs w:val="20"/>
    </w:rPr>
  </w:style>
  <w:style w:type="paragraph" w:styleId="ListParagraph">
    <w:name w:val="List Paragraph"/>
    <w:basedOn w:val="Normal"/>
    <w:uiPriority w:val="34"/>
    <w:qFormat/>
    <w:rsid w:val="00635E1E"/>
    <w:pPr>
      <w:ind w:left="720"/>
      <w:contextualSpacing/>
    </w:pPr>
  </w:style>
  <w:style w:type="paragraph" w:customStyle="1" w:styleId="Default">
    <w:name w:val="Default"/>
    <w:rsid w:val="00635E1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35E1E"/>
    <w:pPr>
      <w:spacing w:after="0" w:line="240" w:lineRule="auto"/>
    </w:pPr>
  </w:style>
  <w:style w:type="table" w:styleId="TableGrid">
    <w:name w:val="Table Grid"/>
    <w:basedOn w:val="TableNormal"/>
    <w:uiPriority w:val="59"/>
    <w:rsid w:val="00635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A51"/>
    <w:rPr>
      <w:rFonts w:ascii="Tahoma" w:hAnsi="Tahoma" w:cs="Tahoma"/>
      <w:sz w:val="16"/>
      <w:szCs w:val="16"/>
    </w:rPr>
  </w:style>
  <w:style w:type="character" w:customStyle="1" w:styleId="BalloonTextChar">
    <w:name w:val="Balloon Text Char"/>
    <w:basedOn w:val="DefaultParagraphFont"/>
    <w:link w:val="BalloonText"/>
    <w:uiPriority w:val="99"/>
    <w:semiHidden/>
    <w:rsid w:val="00765A51"/>
    <w:rPr>
      <w:rFonts w:ascii="Tahoma" w:hAnsi="Tahoma" w:cs="Tahoma"/>
      <w:sz w:val="16"/>
      <w:szCs w:val="16"/>
    </w:rPr>
  </w:style>
  <w:style w:type="paragraph" w:styleId="Header">
    <w:name w:val="header"/>
    <w:basedOn w:val="Normal"/>
    <w:link w:val="HeaderChar"/>
    <w:uiPriority w:val="99"/>
    <w:unhideWhenUsed/>
    <w:rsid w:val="00635E1E"/>
    <w:pPr>
      <w:tabs>
        <w:tab w:val="center" w:pos="4680"/>
        <w:tab w:val="right" w:pos="9360"/>
      </w:tabs>
    </w:pPr>
  </w:style>
  <w:style w:type="character" w:customStyle="1" w:styleId="HeaderChar">
    <w:name w:val="Header Char"/>
    <w:basedOn w:val="DefaultParagraphFont"/>
    <w:link w:val="Header"/>
    <w:uiPriority w:val="99"/>
    <w:rsid w:val="00635E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E1E"/>
    <w:pPr>
      <w:tabs>
        <w:tab w:val="center" w:pos="4680"/>
        <w:tab w:val="right" w:pos="9360"/>
      </w:tabs>
    </w:pPr>
  </w:style>
  <w:style w:type="character" w:customStyle="1" w:styleId="FooterChar">
    <w:name w:val="Footer Char"/>
    <w:basedOn w:val="DefaultParagraphFont"/>
    <w:link w:val="Footer"/>
    <w:uiPriority w:val="99"/>
    <w:rsid w:val="00635E1E"/>
    <w:rPr>
      <w:rFonts w:ascii="Times New Roman" w:eastAsia="Times New Roman" w:hAnsi="Times New Roman" w:cs="Times New Roman"/>
      <w:sz w:val="20"/>
      <w:szCs w:val="20"/>
    </w:rPr>
  </w:style>
  <w:style w:type="paragraph" w:styleId="ListParagraph">
    <w:name w:val="List Paragraph"/>
    <w:basedOn w:val="Normal"/>
    <w:uiPriority w:val="34"/>
    <w:qFormat/>
    <w:rsid w:val="00635E1E"/>
    <w:pPr>
      <w:ind w:left="720"/>
      <w:contextualSpacing/>
    </w:pPr>
  </w:style>
  <w:style w:type="paragraph" w:customStyle="1" w:styleId="Default">
    <w:name w:val="Default"/>
    <w:rsid w:val="00635E1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35E1E"/>
    <w:pPr>
      <w:spacing w:after="0" w:line="240" w:lineRule="auto"/>
    </w:pPr>
  </w:style>
  <w:style w:type="table" w:styleId="TableGrid">
    <w:name w:val="Table Grid"/>
    <w:basedOn w:val="TableNormal"/>
    <w:uiPriority w:val="59"/>
    <w:rsid w:val="00635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5549</Words>
  <Characters>31635</Characters>
  <Application>Microsoft Office Word</Application>
  <DocSecurity>0</DocSecurity>
  <Lines>263</Lines>
  <Paragraphs>74</Paragraphs>
  <ScaleCrop>false</ScaleCrop>
  <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7</cp:revision>
  <cp:lastPrinted>2015-06-04T09:37:00Z</cp:lastPrinted>
  <dcterms:created xsi:type="dcterms:W3CDTF">2015-05-28T06:40:00Z</dcterms:created>
  <dcterms:modified xsi:type="dcterms:W3CDTF">2015-06-04T09:40:00Z</dcterms:modified>
</cp:coreProperties>
</file>